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4A" w:rsidRPr="00FF334A" w:rsidRDefault="00FF334A" w:rsidP="009843F6">
      <w:pPr>
        <w:pStyle w:val="Corpodetexto"/>
        <w:spacing w:before="120" w:after="120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INSTRUÇÃO NORMATIVA </w:t>
      </w:r>
      <w:r w:rsidR="009843F6">
        <w:rPr>
          <w:rFonts w:ascii="Arial" w:hAnsi="Arial" w:cs="Arial"/>
          <w:b/>
          <w:bCs/>
          <w:lang w:val="pt-BR"/>
        </w:rPr>
        <w:t xml:space="preserve">CI </w:t>
      </w:r>
      <w:r>
        <w:rPr>
          <w:rFonts w:ascii="Arial" w:hAnsi="Arial" w:cs="Arial"/>
          <w:b/>
          <w:bCs/>
          <w:lang w:val="pt-BR"/>
        </w:rPr>
        <w:t>Nº 02/2017</w:t>
      </w:r>
    </w:p>
    <w:p w:rsidR="00FF334A" w:rsidRDefault="00FF334A" w:rsidP="00FF334A">
      <w:pPr>
        <w:pStyle w:val="Corpodetexto"/>
        <w:spacing w:before="120" w:after="120"/>
        <w:ind w:left="4536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Corpodetexto"/>
        <w:spacing w:before="120" w:after="120"/>
        <w:ind w:left="453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Dispõe sobre os procedimentos para o encerramento contábil do exercício financeiro de 2017 para os órgãos da administração direta e indireta do Poder Executivo do Município.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Ttulo1"/>
        <w:spacing w:before="120" w:after="120"/>
        <w:ind w:left="0" w:right="0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CAPÍTULO I</w:t>
      </w:r>
    </w:p>
    <w:p w:rsidR="00D62065" w:rsidRDefault="00D62065" w:rsidP="00FF334A">
      <w:pPr>
        <w:pStyle w:val="Ttulo1"/>
        <w:spacing w:before="120" w:after="120"/>
        <w:ind w:left="0" w:right="0"/>
        <w:rPr>
          <w:rFonts w:ascii="Arial" w:hAnsi="Arial" w:cs="Arial"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DAS DISPOSIÇÕES GERAIS</w:t>
      </w:r>
    </w:p>
    <w:p w:rsidR="00FF334A" w:rsidRDefault="00FF334A" w:rsidP="004F27EF">
      <w:pPr>
        <w:pStyle w:val="Corpodetexto"/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9"/>
          <w:lang w:val="pt-BR"/>
        </w:rPr>
        <w:t>Art. 1</w:t>
      </w:r>
      <w:r w:rsidR="004F27EF">
        <w:rPr>
          <w:rFonts w:ascii="Arial" w:hAnsi="Arial" w:cs="Arial"/>
          <w:color w:val="000009"/>
          <w:u w:val="single"/>
          <w:vertAlign w:val="superscript"/>
          <w:lang w:val="pt-BR"/>
        </w:rPr>
        <w:t>º.</w:t>
      </w:r>
      <w:r>
        <w:rPr>
          <w:rFonts w:ascii="Arial" w:hAnsi="Arial" w:cs="Arial"/>
          <w:color w:val="000009"/>
          <w:lang w:val="pt-BR"/>
        </w:rPr>
        <w:t xml:space="preserve"> Ficam estabelecidos os procedimentos que devem ser observados por todos os órgãos e entidades da administração direta e indireta do Poder Executivo do Município em relação ao encerramento contábil do exercício de 2017.</w:t>
      </w:r>
    </w:p>
    <w:p w:rsidR="00FF334A" w:rsidRDefault="00FF334A" w:rsidP="00EA3890">
      <w:pPr>
        <w:pStyle w:val="Corpodetexto"/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Parágrafo único. A não observância do disposto nesta Instrução Normativa implicará na responsabilidade dos agentes que derem causa.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Ttulo1"/>
        <w:spacing w:before="120" w:after="120"/>
        <w:ind w:left="0" w:right="0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CAPÍTULO II</w:t>
      </w:r>
    </w:p>
    <w:p w:rsidR="00D62065" w:rsidRDefault="00D62065" w:rsidP="00FF334A">
      <w:pPr>
        <w:pStyle w:val="Ttulo1"/>
        <w:spacing w:before="120" w:after="120"/>
        <w:ind w:left="0" w:right="0"/>
        <w:rPr>
          <w:rFonts w:ascii="Arial" w:hAnsi="Arial" w:cs="Arial"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DOS INVENTÁRIOS</w:t>
      </w:r>
    </w:p>
    <w:p w:rsidR="00A662B0" w:rsidRDefault="00A662B0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 xml:space="preserve">Seção I </w:t>
      </w: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Elementos Patrimoniais Que Devem Ser Inventariados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2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Para encerramento do exercício devem ser realizados os inventários relativos: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 – às contas bancárias;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II – aos estoques de materiais e de bens móveis e imóveis;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III– aos créditos a receber da União, Estados e entidades locais;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IV – tributos, dívida ativa, créditos e passivos não tributários;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 – contratos de prestação de serviços, fornecimento de produtos e bens em execução;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 – contratos de parcelamentos e dívidas de longo prazo em execução; e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VII – restos a pagar de exercícios anteriores a 2017.</w:t>
      </w:r>
    </w:p>
    <w:p w:rsidR="00A662B0" w:rsidRDefault="00A662B0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Seção II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Do inventário das contas bancárias</w:t>
      </w:r>
    </w:p>
    <w:p w:rsidR="00FF334A" w:rsidRDefault="00FF334A" w:rsidP="004C2AB5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3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. Em até </w:t>
      </w:r>
      <w:r w:rsidR="00EA3890">
        <w:rPr>
          <w:rFonts w:ascii="Arial" w:hAnsi="Arial" w:cs="Arial"/>
          <w:lang w:val="pt-BR"/>
        </w:rPr>
        <w:t>1</w:t>
      </w:r>
      <w:r w:rsidR="004C2AB5">
        <w:rPr>
          <w:rFonts w:ascii="Arial" w:hAnsi="Arial" w:cs="Arial"/>
          <w:lang w:val="pt-BR"/>
        </w:rPr>
        <w:t>2</w:t>
      </w:r>
      <w:r w:rsidR="00EA3890">
        <w:rPr>
          <w:rFonts w:ascii="Arial" w:hAnsi="Arial" w:cs="Arial"/>
          <w:lang w:val="pt-BR"/>
        </w:rPr>
        <w:t>/12/2017</w:t>
      </w:r>
      <w:r>
        <w:rPr>
          <w:rFonts w:ascii="Arial" w:hAnsi="Arial" w:cs="Arial"/>
          <w:lang w:val="pt-BR"/>
        </w:rPr>
        <w:t xml:space="preserve"> a Unidade Central de Controle Interno solicitará às agências bancárias a relação de todas as contas bancárias nos </w:t>
      </w:r>
      <w:proofErr w:type="spellStart"/>
      <w:r>
        <w:rPr>
          <w:rFonts w:ascii="Arial" w:hAnsi="Arial" w:cs="Arial"/>
          <w:lang w:val="pt-BR"/>
        </w:rPr>
        <w:t>CNPJs</w:t>
      </w:r>
      <w:proofErr w:type="spellEnd"/>
      <w:r>
        <w:rPr>
          <w:rFonts w:ascii="Arial" w:hAnsi="Arial" w:cs="Arial"/>
          <w:lang w:val="pt-BR"/>
        </w:rPr>
        <w:t xml:space="preserve"> do Município e as correlacionará com as registradas na Contabilidade.</w:t>
      </w:r>
    </w:p>
    <w:p w:rsidR="00FF334A" w:rsidRDefault="00FF334A" w:rsidP="004C2AB5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4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Os saldos em contas bancárias nos razões contábeis devem ser iguais aos respectivos extratos bancários e ao boletim diário de bancos em 31</w:t>
      </w:r>
      <w:r w:rsidR="004C2AB5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12</w:t>
      </w:r>
      <w:r w:rsidR="004C2AB5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2017 e serem entregues à Contabilidade até o dia 05 de janeiro de 2018.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Parágrafo único. Salvo eventuais cheques a compensar nenhuma outra operação poderá ser registrada em conciliação bancária, sendo as diferenças encontradas escrituradas na contabilidade para efeitos de transparência patrimonial até que o saldo do razão e extrato bancário estejam iguais.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Seção III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Dos Inventários de Estoques de Materiais e de Bens Móveis e Imóveis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5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Os inventários serão realizados por comissão especial ou permanente, respeitando-se o princípio da segregação de funções, e serão entregues à Contabilidade para conferência até o dia 05 de janeiro de 2018.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§1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As diferenças apuradas em inventários de materiais e patrimônio devem fazer parte da ata de encerramento de inventário e, eventuais diferenças, apuradas em processo administrativo próprio.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§2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Os valores de estoque de materiais e de bens do patrimônio devem ser correlacionados com os valores registrados na Contabilidade.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Seção IV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Dos Inventários dos Créditos a Receber da União, Estados E Entidades Locais</w:t>
      </w:r>
    </w:p>
    <w:p w:rsidR="00FF334A" w:rsidRDefault="00FF334A" w:rsidP="00D62065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6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As Secretarias e unidades administrativas que possuam convênios, acordos, ajustes ou congêneres, com a União, Estado ou entidades locais, em vigência até 31</w:t>
      </w:r>
      <w:r w:rsidR="00D62065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12</w:t>
      </w:r>
      <w:r w:rsidR="00D62065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2017, com valores a pagar ou a receber, ou, ainda, que careçam de prestações de contas, devem disponibilizar as informações à Contabilidade para registro e conferência, até 05 de janeiro de 2018.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Seção V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Dos Inventários Referentes aos Tributos, Dívida Ativa, Créditos e Passivos Não Tributários</w:t>
      </w:r>
    </w:p>
    <w:p w:rsidR="00FF334A" w:rsidRDefault="00FF334A" w:rsidP="00823B1C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7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Todas as Secretarias e Unidades Administrativas que controlem e/ou tenham sob a sua responsabilidade créditos a pagar e a receber de natureza não tributária devem repassar à Contabilidade os saldos atualizados até 31</w:t>
      </w:r>
      <w:r w:rsidR="00823B1C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12</w:t>
      </w:r>
      <w:r w:rsidR="00823B1C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2017, até o dia 5 de janeiro de 2018.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8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. O Setor Tributário atualizará os créditos a receber de tributos e dívida ativa, parceladas ou não, conforme a expectativa de realização em curto e longo prazo, e disponibilizará as informações à Contabilidade para registro e conciliações até o dia </w:t>
      </w:r>
      <w:r w:rsidR="00823B1C">
        <w:rPr>
          <w:rFonts w:ascii="Arial" w:hAnsi="Arial" w:cs="Arial"/>
          <w:lang w:val="pt-BR"/>
        </w:rPr>
        <w:t>0</w:t>
      </w:r>
      <w:r>
        <w:rPr>
          <w:rFonts w:ascii="Arial" w:hAnsi="Arial" w:cs="Arial"/>
          <w:lang w:val="pt-BR"/>
        </w:rPr>
        <w:t>5 de janeiro de 2018.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Art. 9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. A Procuradoria disponibilizará à Contabilidade informações sobre os processos que o Município faz parte e que digam respeito à cobrança de tributos, créditos não tributários, passivos e obrigações, inclusive os precatórios e respectivos regimes de pagamento, e as contingências que possam representar a curto ou longo prazo desencaixe financeiro para o Município até o dia 10 de janeiro</w:t>
      </w:r>
      <w:r w:rsidR="00823B1C">
        <w:rPr>
          <w:rFonts w:ascii="Arial" w:hAnsi="Arial" w:cs="Arial"/>
          <w:lang w:val="pt-BR"/>
        </w:rPr>
        <w:t xml:space="preserve"> de 2018</w:t>
      </w:r>
      <w:r>
        <w:rPr>
          <w:rFonts w:ascii="Arial" w:hAnsi="Arial" w:cs="Arial"/>
          <w:lang w:val="pt-BR"/>
        </w:rPr>
        <w:t>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Seção VI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Dos Inventários de Contratos de Prestação de Serviços e Fornecimento de Produtos e Bens em Execução</w:t>
      </w:r>
    </w:p>
    <w:p w:rsidR="00FF334A" w:rsidRDefault="00FF334A" w:rsidP="00A662B0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Art. 10. As Secretarias e respectivas unidades administrativas farão inventário e informarão à Contabilidade os contratos que estejam em execução em suas Pastas até 31</w:t>
      </w:r>
      <w:r w:rsidR="00A662B0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12</w:t>
      </w:r>
      <w:r w:rsidR="00A662B0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>2017, ou que a execução ultrapasse a essa data, para efeito de registro contábil e conciliação, até o dia 10 de janeiro de 2018.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Parágrafo único. Deverão constar as seguintes informações referentes aos contratos: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 – vigência;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II – fornecedor;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III - objeto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IV – valores iniciais, atuais, executados e a executar.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lang w:val="pt-BR"/>
        </w:rPr>
      </w:pP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Seção VII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Dos Inventários de Contratos de Parcelamentos e Dívidas de Longo Prazo em Execução</w:t>
      </w:r>
    </w:p>
    <w:p w:rsidR="00FF334A" w:rsidRDefault="00FF334A" w:rsidP="00A662B0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  <w:r>
        <w:rPr>
          <w:rFonts w:ascii="Arial" w:hAnsi="Arial" w:cs="Arial"/>
          <w:b w:val="0"/>
          <w:color w:val="000009"/>
          <w:lang w:val="pt-BR"/>
        </w:rPr>
        <w:t>Art. 11. As Secretarias disponibilização informações à Contabilidade sobre contratos de longo prazo que estejam sob a sua gestão e em vigência em 31</w:t>
      </w:r>
      <w:r w:rsidR="00A662B0">
        <w:rPr>
          <w:rFonts w:ascii="Arial" w:hAnsi="Arial" w:cs="Arial"/>
          <w:b w:val="0"/>
          <w:color w:val="000009"/>
          <w:lang w:val="pt-BR"/>
        </w:rPr>
        <w:t>/</w:t>
      </w:r>
      <w:r>
        <w:rPr>
          <w:rFonts w:ascii="Arial" w:hAnsi="Arial" w:cs="Arial"/>
          <w:b w:val="0"/>
          <w:color w:val="000009"/>
          <w:lang w:val="pt-BR"/>
        </w:rPr>
        <w:t>12</w:t>
      </w:r>
      <w:r w:rsidR="00A662B0">
        <w:rPr>
          <w:rFonts w:ascii="Arial" w:hAnsi="Arial" w:cs="Arial"/>
          <w:b w:val="0"/>
          <w:color w:val="000009"/>
          <w:lang w:val="pt-BR"/>
        </w:rPr>
        <w:t>/</w:t>
      </w:r>
      <w:r>
        <w:rPr>
          <w:rFonts w:ascii="Arial" w:hAnsi="Arial" w:cs="Arial"/>
          <w:b w:val="0"/>
          <w:color w:val="000009"/>
          <w:lang w:val="pt-BR"/>
        </w:rPr>
        <w:t>2017, até o dia 10 de janeiro de 2018, informando:</w:t>
      </w:r>
    </w:p>
    <w:p w:rsidR="00FF334A" w:rsidRDefault="00FF334A" w:rsidP="00FF334A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  <w:r>
        <w:rPr>
          <w:rFonts w:ascii="Arial" w:hAnsi="Arial" w:cs="Arial"/>
          <w:b w:val="0"/>
          <w:color w:val="000009"/>
          <w:lang w:val="pt-BR"/>
        </w:rPr>
        <w:t>I – credor;</w:t>
      </w:r>
    </w:p>
    <w:p w:rsidR="00FF334A" w:rsidRDefault="00FF334A" w:rsidP="00FF334A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  <w:r>
        <w:rPr>
          <w:rFonts w:ascii="Arial" w:hAnsi="Arial" w:cs="Arial"/>
          <w:b w:val="0"/>
          <w:color w:val="000009"/>
          <w:lang w:val="pt-BR"/>
        </w:rPr>
        <w:t>II – objeto;</w:t>
      </w:r>
    </w:p>
    <w:p w:rsidR="00FF334A" w:rsidRDefault="00FF334A" w:rsidP="00FF334A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  <w:r>
        <w:rPr>
          <w:rFonts w:ascii="Arial" w:hAnsi="Arial" w:cs="Arial"/>
          <w:b w:val="0"/>
          <w:color w:val="000009"/>
          <w:lang w:val="pt-BR"/>
        </w:rPr>
        <w:t>III – valor atualizado da dívida, individualizando encargos financeiros pré-fixados e pós-fixados;</w:t>
      </w:r>
    </w:p>
    <w:p w:rsidR="00FF334A" w:rsidRDefault="00FF334A" w:rsidP="00FF334A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  <w:r>
        <w:rPr>
          <w:rFonts w:ascii="Arial" w:hAnsi="Arial" w:cs="Arial"/>
          <w:b w:val="0"/>
          <w:color w:val="000009"/>
          <w:lang w:val="pt-BR"/>
        </w:rPr>
        <w:t>IV – parcelas totais, parcelas amortizadas e faltantes a amortizar.</w:t>
      </w:r>
    </w:p>
    <w:p w:rsidR="00FF334A" w:rsidRDefault="00FF334A" w:rsidP="00FF334A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Seção VIII</w:t>
      </w:r>
    </w:p>
    <w:p w:rsidR="00FF334A" w:rsidRDefault="00FF334A" w:rsidP="00FF334A">
      <w:pPr>
        <w:pStyle w:val="Corpodetexto"/>
        <w:tabs>
          <w:tab w:val="left" w:pos="2085"/>
        </w:tabs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Dos Inventários de Restos a Pagar</w:t>
      </w:r>
    </w:p>
    <w:p w:rsidR="00FF334A" w:rsidRDefault="00FF334A" w:rsidP="00A662B0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  <w:r>
        <w:rPr>
          <w:rFonts w:ascii="Arial" w:hAnsi="Arial" w:cs="Arial"/>
          <w:b w:val="0"/>
          <w:color w:val="000009"/>
          <w:lang w:val="pt-BR"/>
        </w:rPr>
        <w:t>Art. 12. As secretarias realizarão inventário físico dos empenhos inscritos em restos a pagar em exercícios anteriores e pendentes de liquidação ou pagamento até 31</w:t>
      </w:r>
      <w:r w:rsidR="00A662B0">
        <w:rPr>
          <w:rFonts w:ascii="Arial" w:hAnsi="Arial" w:cs="Arial"/>
          <w:b w:val="0"/>
          <w:color w:val="000009"/>
          <w:lang w:val="pt-BR"/>
        </w:rPr>
        <w:t>/</w:t>
      </w:r>
      <w:r>
        <w:rPr>
          <w:rFonts w:ascii="Arial" w:hAnsi="Arial" w:cs="Arial"/>
          <w:b w:val="0"/>
          <w:color w:val="000009"/>
          <w:lang w:val="pt-BR"/>
        </w:rPr>
        <w:t>12</w:t>
      </w:r>
      <w:r w:rsidR="00A662B0">
        <w:rPr>
          <w:rFonts w:ascii="Arial" w:hAnsi="Arial" w:cs="Arial"/>
          <w:b w:val="0"/>
          <w:color w:val="000009"/>
          <w:lang w:val="pt-BR"/>
        </w:rPr>
        <w:t>/</w:t>
      </w:r>
      <w:r>
        <w:rPr>
          <w:rFonts w:ascii="Arial" w:hAnsi="Arial" w:cs="Arial"/>
          <w:b w:val="0"/>
          <w:color w:val="000009"/>
          <w:lang w:val="pt-BR"/>
        </w:rPr>
        <w:t>2017 e disponibilizarão à Contabilidade para fins de conciliação contábil até o dia 05 de janeiro de 2018.</w:t>
      </w:r>
    </w:p>
    <w:p w:rsidR="00FF334A" w:rsidRDefault="00FF334A" w:rsidP="00A662B0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  <w:r>
        <w:rPr>
          <w:rFonts w:ascii="Arial" w:hAnsi="Arial" w:cs="Arial"/>
          <w:b w:val="0"/>
          <w:lang w:val="pt-BR"/>
        </w:rPr>
        <w:t>Parágrafo único.</w:t>
      </w:r>
      <w:r>
        <w:rPr>
          <w:rFonts w:ascii="Arial" w:hAnsi="Arial" w:cs="Arial"/>
          <w:b w:val="0"/>
          <w:color w:val="000009"/>
          <w:lang w:val="pt-BR"/>
        </w:rPr>
        <w:t xml:space="preserve"> Os restos a pagar não processados até 31</w:t>
      </w:r>
      <w:r w:rsidR="00A662B0">
        <w:rPr>
          <w:rFonts w:ascii="Arial" w:hAnsi="Arial" w:cs="Arial"/>
          <w:b w:val="0"/>
          <w:color w:val="000009"/>
          <w:lang w:val="pt-BR"/>
        </w:rPr>
        <w:t>/</w:t>
      </w:r>
      <w:r>
        <w:rPr>
          <w:rFonts w:ascii="Arial" w:hAnsi="Arial" w:cs="Arial"/>
          <w:b w:val="0"/>
          <w:color w:val="000009"/>
          <w:lang w:val="pt-BR"/>
        </w:rPr>
        <w:t>12</w:t>
      </w:r>
      <w:r w:rsidR="00A662B0">
        <w:rPr>
          <w:rFonts w:ascii="Arial" w:hAnsi="Arial" w:cs="Arial"/>
          <w:b w:val="0"/>
          <w:color w:val="000009"/>
          <w:lang w:val="pt-BR"/>
        </w:rPr>
        <w:t>/</w:t>
      </w:r>
      <w:r>
        <w:rPr>
          <w:rFonts w:ascii="Arial" w:hAnsi="Arial" w:cs="Arial"/>
          <w:b w:val="0"/>
          <w:color w:val="000009"/>
          <w:lang w:val="pt-BR"/>
        </w:rPr>
        <w:t>2017 serão cancelados, salvo se relacionar à execução de serviço ou obra com recursos vinculados cuja disponibilidade financeira esteja disponível.</w:t>
      </w:r>
    </w:p>
    <w:p w:rsidR="00FF334A" w:rsidRDefault="00FF334A" w:rsidP="00FF334A">
      <w:pPr>
        <w:pStyle w:val="Ttulo1"/>
        <w:spacing w:before="120" w:after="120"/>
        <w:ind w:left="0" w:right="0"/>
        <w:jc w:val="both"/>
        <w:rPr>
          <w:rFonts w:ascii="Arial" w:hAnsi="Arial" w:cs="Arial"/>
          <w:b w:val="0"/>
          <w:color w:val="000009"/>
          <w:lang w:val="pt-BR"/>
        </w:rPr>
      </w:pPr>
    </w:p>
    <w:p w:rsidR="00FF334A" w:rsidRDefault="00FF334A" w:rsidP="00FF334A">
      <w:pPr>
        <w:pStyle w:val="Ttulo1"/>
        <w:spacing w:before="120" w:after="120"/>
        <w:ind w:left="0" w:right="0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CAPÍTULO III</w:t>
      </w:r>
    </w:p>
    <w:p w:rsidR="003F1C94" w:rsidRDefault="003F1C94" w:rsidP="00FF334A">
      <w:pPr>
        <w:pStyle w:val="Ttulo1"/>
        <w:spacing w:before="120" w:after="120"/>
        <w:ind w:left="0" w:right="0"/>
        <w:rPr>
          <w:rFonts w:ascii="Arial" w:hAnsi="Arial" w:cs="Arial"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 xml:space="preserve">PROCEDIMENTOS RELATIVOS À DESPESA </w:t>
      </w:r>
    </w:p>
    <w:p w:rsidR="00FF334A" w:rsidRDefault="00FF334A" w:rsidP="00A662B0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Art. 13. Todas as obrigações relativas a contratos ou produtos entregues até 31</w:t>
      </w:r>
      <w:r w:rsidR="00A662B0">
        <w:rPr>
          <w:rFonts w:ascii="Arial" w:hAnsi="Arial" w:cs="Arial"/>
          <w:color w:val="000009"/>
          <w:lang w:val="pt-BR"/>
        </w:rPr>
        <w:t>/12/</w:t>
      </w:r>
      <w:r>
        <w:rPr>
          <w:rFonts w:ascii="Arial" w:hAnsi="Arial" w:cs="Arial"/>
          <w:color w:val="000009"/>
          <w:lang w:val="pt-BR"/>
        </w:rPr>
        <w:t>2017 deverão ser empenhadas e liquidadas.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Parágrafo único. Fica vedada a autorização de compra ou serviços após 22 de dezembro de 2017.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 xml:space="preserve">Art. 14. As obrigações de despesas cujos valores não possam ser liquidados até o encerramento do exercício e que pertençam por sua competência a 2017 devem ser reconhecidas em variações patrimoniais diminutivas e empenhadas, utilizando-se o </w:t>
      </w:r>
      <w:r>
        <w:rPr>
          <w:rFonts w:ascii="Arial" w:hAnsi="Arial" w:cs="Arial"/>
          <w:color w:val="000009"/>
          <w:lang w:val="pt-BR"/>
        </w:rPr>
        <w:lastRenderedPageBreak/>
        <w:t xml:space="preserve">estágio da despesa </w:t>
      </w:r>
      <w:r>
        <w:rPr>
          <w:rFonts w:ascii="Arial" w:hAnsi="Arial" w:cs="Arial"/>
          <w:i/>
          <w:color w:val="000009"/>
          <w:lang w:val="pt-BR"/>
        </w:rPr>
        <w:t>em liquidação</w:t>
      </w:r>
      <w:r>
        <w:rPr>
          <w:rFonts w:ascii="Arial" w:hAnsi="Arial" w:cs="Arial"/>
          <w:color w:val="000009"/>
          <w:lang w:val="pt-BR"/>
        </w:rPr>
        <w:t>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Art. 15. As transferências financeiras cuja competência seja o exercício de 2017 e que não foram pagas, vencidas ou não, devem ser reconhecidas em variações patrimoniais diminutivas e, no passivo circulante, em conta de atributo financeiro.</w:t>
      </w:r>
    </w:p>
    <w:p w:rsidR="00FF334A" w:rsidRDefault="00FF334A" w:rsidP="007C285D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 xml:space="preserve">Art. 16. Em </w:t>
      </w:r>
      <w:r w:rsidR="007C285D">
        <w:rPr>
          <w:rFonts w:ascii="Arial" w:hAnsi="Arial" w:cs="Arial"/>
          <w:color w:val="000009"/>
          <w:lang w:val="pt-BR"/>
        </w:rPr>
        <w:t>15/12</w:t>
      </w:r>
      <w:r w:rsidR="003F1C94">
        <w:rPr>
          <w:rFonts w:ascii="Arial" w:hAnsi="Arial" w:cs="Arial"/>
          <w:color w:val="000009"/>
          <w:lang w:val="pt-BR"/>
        </w:rPr>
        <w:t>/</w:t>
      </w:r>
      <w:r>
        <w:rPr>
          <w:rFonts w:ascii="Arial" w:hAnsi="Arial" w:cs="Arial"/>
          <w:color w:val="000009"/>
          <w:lang w:val="pt-BR"/>
        </w:rPr>
        <w:t>2017 será apurado o déficit ou superávit de todas as fontes de recursos, sendo vedada a realização de ordem de serviço ou requisição que resulte em empenho de despesa no mês de dezembro/201</w:t>
      </w:r>
      <w:r w:rsidR="007C285D">
        <w:rPr>
          <w:rFonts w:ascii="Arial" w:hAnsi="Arial" w:cs="Arial"/>
          <w:color w:val="000009"/>
          <w:lang w:val="pt-BR"/>
        </w:rPr>
        <w:t>7</w:t>
      </w:r>
      <w:r>
        <w:rPr>
          <w:rFonts w:ascii="Arial" w:hAnsi="Arial" w:cs="Arial"/>
          <w:color w:val="000009"/>
          <w:lang w:val="pt-BR"/>
        </w:rPr>
        <w:t xml:space="preserve"> sem que haja recurso financeiro disponível na fonte ou previsão líquida e certa de entrada de recursos até 31</w:t>
      </w:r>
      <w:r w:rsidR="007C285D">
        <w:rPr>
          <w:rFonts w:ascii="Arial" w:hAnsi="Arial" w:cs="Arial"/>
          <w:color w:val="000009"/>
          <w:lang w:val="pt-BR"/>
        </w:rPr>
        <w:t>/12/</w:t>
      </w:r>
      <w:r>
        <w:rPr>
          <w:rFonts w:ascii="Arial" w:hAnsi="Arial" w:cs="Arial"/>
          <w:color w:val="000009"/>
          <w:lang w:val="pt-BR"/>
        </w:rPr>
        <w:t>2017.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FF334A" w:rsidRDefault="00FF334A" w:rsidP="00FF334A">
      <w:pPr>
        <w:pStyle w:val="Ttulo1"/>
        <w:spacing w:before="120" w:after="120"/>
        <w:ind w:left="0" w:right="0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CAPÍTULO IV</w:t>
      </w:r>
    </w:p>
    <w:p w:rsidR="003F1C94" w:rsidRDefault="003F1C94" w:rsidP="00FF334A">
      <w:pPr>
        <w:pStyle w:val="Ttulo1"/>
        <w:spacing w:before="120" w:after="120"/>
        <w:ind w:left="0" w:right="0"/>
        <w:rPr>
          <w:rFonts w:ascii="Arial" w:hAnsi="Arial" w:cs="Arial"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PROCEDIMENTOS DE ENCERRAMENTOS CONTÁBEIS</w:t>
      </w:r>
    </w:p>
    <w:p w:rsidR="003F1C94" w:rsidRDefault="003F1C94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Seção I</w:t>
      </w: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Correlações Contábeis Obrigatórias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Art. 17. Após os inventários de que trata o art. 3º a Contabilidade procederá às conferências e correlações em cada uma das entidades que consolidarão os balanços no Município.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§1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color w:val="000009"/>
          <w:lang w:val="pt-BR"/>
        </w:rPr>
        <w:t>. São correlações contábeis mínimas e obrigatórias em cada entidade contábil:</w:t>
      </w:r>
    </w:p>
    <w:p w:rsidR="00FF334A" w:rsidRDefault="00FF334A" w:rsidP="003F1C94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I – todos os inventários de que trata o art. 3º com o balancete contábil de verificação em 31</w:t>
      </w:r>
      <w:r w:rsidR="003F1C94">
        <w:rPr>
          <w:rFonts w:ascii="Arial" w:hAnsi="Arial" w:cs="Arial"/>
          <w:color w:val="000009"/>
          <w:lang w:val="pt-BR"/>
        </w:rPr>
        <w:t>/</w:t>
      </w:r>
      <w:r>
        <w:rPr>
          <w:rFonts w:ascii="Arial" w:hAnsi="Arial" w:cs="Arial"/>
          <w:color w:val="000009"/>
          <w:lang w:val="pt-BR"/>
        </w:rPr>
        <w:t>12</w:t>
      </w:r>
      <w:r w:rsidR="003F1C94">
        <w:rPr>
          <w:rFonts w:ascii="Arial" w:hAnsi="Arial" w:cs="Arial"/>
          <w:color w:val="000009"/>
          <w:lang w:val="pt-BR"/>
        </w:rPr>
        <w:t>/</w:t>
      </w:r>
      <w:r>
        <w:rPr>
          <w:rFonts w:ascii="Arial" w:hAnsi="Arial" w:cs="Arial"/>
          <w:color w:val="000009"/>
          <w:lang w:val="pt-BR"/>
        </w:rPr>
        <w:t>2017;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II – balancete da receita e da despesa com o grupo 5 e 6 do balancete contábil;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III – leis e decretos de abertura de créditos adicionais com o balancete da despesa e balancete contábil de verificação;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IV – saldo da conta 82111 igual à diferença entre o ativo e passivo financeiro da entidade;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V – o saldo do grupo de contas 7211 diminuído do saldo da conta 82114 deve ser igual ao saldo do grupo de contas 111- caixa e equivalente de caixa;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iCs/>
          <w:lang w:val="pt-BR"/>
        </w:rPr>
      </w:pPr>
      <w:r>
        <w:rPr>
          <w:rFonts w:ascii="Arial" w:hAnsi="Arial" w:cs="Arial"/>
          <w:iCs/>
          <w:lang w:val="pt-BR"/>
        </w:rPr>
        <w:t>VI – a soma dos saldos das contas de 82111, 82112 e 82113, somados, devem possuir saldo igual à soma do saldo do grupo Caixa e Equivalente de Caixa e os créditos financeiros no Ativo Circulante com atributo “F”.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iCs/>
          <w:lang w:val="pt-BR"/>
        </w:rPr>
      </w:pPr>
      <w:r>
        <w:rPr>
          <w:rFonts w:ascii="Arial" w:hAnsi="Arial" w:cs="Arial"/>
          <w:iCs/>
          <w:lang w:val="pt-BR"/>
        </w:rPr>
        <w:t>§2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iCs/>
          <w:lang w:val="pt-BR"/>
        </w:rPr>
        <w:t>. A Contabilidade deve realizar outras correlações contábeis além das referidas no parágrafo anterior, de forma a assegurar a correção e transparência das demonstrações.</w:t>
      </w:r>
    </w:p>
    <w:p w:rsidR="00FF334A" w:rsidRDefault="00FF334A" w:rsidP="00FF334A">
      <w:pPr>
        <w:pStyle w:val="Corpodetexto"/>
        <w:spacing w:before="120" w:after="120"/>
        <w:jc w:val="both"/>
        <w:rPr>
          <w:rFonts w:ascii="Arial" w:hAnsi="Arial" w:cs="Arial"/>
          <w:iCs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Seção II</w:t>
      </w: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Das Consolidações Das Demonstrações Contábeis</w:t>
      </w:r>
    </w:p>
    <w:p w:rsidR="00FF334A" w:rsidRDefault="00FF334A" w:rsidP="00FF334A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Art. 18. Realizados os inventários e as correlações contábeis, cada entidade gerará suas demonstrações e notas explicativas preliminares para efeitos de consolidação no Município.</w:t>
      </w:r>
    </w:p>
    <w:p w:rsidR="00FF334A" w:rsidRDefault="00FF334A" w:rsidP="00FF334A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§1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color w:val="000009"/>
          <w:lang w:val="pt-BR"/>
        </w:rPr>
        <w:t>. As demonstrações contábeis preliminares serão enviadas ao Poder Executivo por todos os órgãos e entidades, inclusive o Legislativo e os consórcios públicos que o Município fizer parte, até o dia 16 de janeiro de 2018, para efeitos de consolidação.</w:t>
      </w:r>
    </w:p>
    <w:p w:rsidR="00FF334A" w:rsidRDefault="00FF334A" w:rsidP="00FF334A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lastRenderedPageBreak/>
        <w:t>§2</w:t>
      </w:r>
      <w:r>
        <w:rPr>
          <w:rFonts w:ascii="Arial" w:hAnsi="Arial" w:cs="Arial"/>
          <w:color w:val="000009"/>
          <w:u w:val="single"/>
          <w:vertAlign w:val="superscript"/>
          <w:lang w:val="pt-BR"/>
        </w:rPr>
        <w:t>o</w:t>
      </w:r>
      <w:r>
        <w:rPr>
          <w:rFonts w:ascii="Arial" w:hAnsi="Arial" w:cs="Arial"/>
          <w:color w:val="000009"/>
          <w:lang w:val="pt-BR"/>
        </w:rPr>
        <w:t>. Após a confirmação de correção das informações para efeitos de consolidação por parte da contabilidade do Poder Executivo, as entidades e órgãos poderão gerar suas demonstrações e notas explicativas definitivas.</w:t>
      </w:r>
    </w:p>
    <w:p w:rsidR="00FF334A" w:rsidRDefault="00FF334A" w:rsidP="00FF334A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FF334A" w:rsidRDefault="00FF334A" w:rsidP="00FF334A">
      <w:pPr>
        <w:pStyle w:val="Ttulo1"/>
        <w:spacing w:before="120" w:after="120"/>
        <w:ind w:left="0" w:right="0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CAPÍTULO V</w:t>
      </w:r>
    </w:p>
    <w:p w:rsidR="00AA70F6" w:rsidRDefault="00AA70F6" w:rsidP="00FF334A">
      <w:pPr>
        <w:pStyle w:val="Ttulo1"/>
        <w:spacing w:before="120" w:after="120"/>
        <w:ind w:left="0" w:right="0"/>
        <w:rPr>
          <w:rFonts w:ascii="Arial" w:hAnsi="Arial" w:cs="Arial"/>
          <w:lang w:val="pt-BR"/>
        </w:rPr>
      </w:pPr>
    </w:p>
    <w:p w:rsidR="00FF334A" w:rsidRDefault="00FF334A" w:rsidP="00FF334A">
      <w:pPr>
        <w:spacing w:before="120" w:after="120"/>
        <w:jc w:val="center"/>
        <w:rPr>
          <w:rFonts w:ascii="Arial" w:hAnsi="Arial" w:cs="Arial"/>
          <w:b/>
          <w:color w:val="000009"/>
          <w:lang w:val="pt-BR"/>
        </w:rPr>
      </w:pPr>
      <w:r>
        <w:rPr>
          <w:rFonts w:ascii="Arial" w:hAnsi="Arial" w:cs="Arial"/>
          <w:b/>
          <w:color w:val="000009"/>
          <w:lang w:val="pt-BR"/>
        </w:rPr>
        <w:t>DISPOSIÇÕES FINAIS</w:t>
      </w:r>
    </w:p>
    <w:p w:rsidR="00FF334A" w:rsidRDefault="00FF334A" w:rsidP="0051526F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Art. 19. Cabe à Unidade Central de controle interno acompanhar o cumprimento desta Instrução Normativa</w:t>
      </w:r>
      <w:r w:rsidR="003352A1">
        <w:rPr>
          <w:rFonts w:ascii="Arial" w:hAnsi="Arial" w:cs="Arial"/>
          <w:color w:val="000009"/>
          <w:lang w:val="pt-BR"/>
        </w:rPr>
        <w:t xml:space="preserve"> e emitir certificado de auditoria sobre as demonstrações contábeis</w:t>
      </w:r>
      <w:bookmarkStart w:id="0" w:name="_GoBack"/>
      <w:bookmarkEnd w:id="0"/>
      <w:r w:rsidR="003352A1">
        <w:rPr>
          <w:rFonts w:ascii="Arial" w:hAnsi="Arial" w:cs="Arial"/>
          <w:color w:val="000009"/>
          <w:lang w:val="pt-BR"/>
        </w:rPr>
        <w:t xml:space="preserve"> de cada entidade, assim como também, das demonstrações contábeis consolidadas</w:t>
      </w:r>
      <w:r>
        <w:rPr>
          <w:rFonts w:ascii="Arial" w:hAnsi="Arial" w:cs="Arial"/>
          <w:color w:val="000009"/>
          <w:lang w:val="pt-BR"/>
        </w:rPr>
        <w:t>.</w:t>
      </w:r>
    </w:p>
    <w:p w:rsidR="00FF334A" w:rsidRDefault="00FF334A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Art. 20. Esta Instrução Normativa entra em vigor na data de sua publicação.</w:t>
      </w: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Água Doce, 11 de dezembro de 2017</w:t>
      </w: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proofErr w:type="spellStart"/>
      <w:r>
        <w:rPr>
          <w:rFonts w:ascii="Arial" w:hAnsi="Arial" w:cs="Arial"/>
          <w:color w:val="000009"/>
          <w:lang w:val="pt-BR"/>
        </w:rPr>
        <w:t>Edione</w:t>
      </w:r>
      <w:proofErr w:type="spellEnd"/>
      <w:r>
        <w:rPr>
          <w:rFonts w:ascii="Arial" w:hAnsi="Arial" w:cs="Arial"/>
          <w:color w:val="000009"/>
          <w:lang w:val="pt-BR"/>
        </w:rPr>
        <w:t xml:space="preserve"> Teresinha </w:t>
      </w:r>
      <w:proofErr w:type="spellStart"/>
      <w:r>
        <w:rPr>
          <w:rFonts w:ascii="Arial" w:hAnsi="Arial" w:cs="Arial"/>
          <w:color w:val="000009"/>
          <w:lang w:val="pt-BR"/>
        </w:rPr>
        <w:t>Balestrin</w:t>
      </w:r>
      <w:proofErr w:type="spellEnd"/>
      <w:r>
        <w:rPr>
          <w:rFonts w:ascii="Arial" w:hAnsi="Arial" w:cs="Arial"/>
          <w:color w:val="000009"/>
          <w:lang w:val="pt-BR"/>
        </w:rPr>
        <w:t xml:space="preserve"> </w:t>
      </w:r>
      <w:proofErr w:type="spellStart"/>
      <w:r>
        <w:rPr>
          <w:rFonts w:ascii="Arial" w:hAnsi="Arial" w:cs="Arial"/>
          <w:color w:val="000009"/>
          <w:lang w:val="pt-BR"/>
        </w:rPr>
        <w:t>Fioreze</w:t>
      </w:r>
      <w:proofErr w:type="spellEnd"/>
    </w:p>
    <w:p w:rsidR="00AA70F6" w:rsidRDefault="00AA70F6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Coordenadora do Sistema de Controle Interno</w:t>
      </w: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De acordo, homologo em ____/___/___.</w:t>
      </w: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 xml:space="preserve">Antônio José </w:t>
      </w:r>
      <w:proofErr w:type="spellStart"/>
      <w:r>
        <w:rPr>
          <w:rFonts w:ascii="Arial" w:hAnsi="Arial" w:cs="Arial"/>
          <w:color w:val="000009"/>
          <w:lang w:val="pt-BR"/>
        </w:rPr>
        <w:t>Bissani</w:t>
      </w:r>
      <w:proofErr w:type="spellEnd"/>
    </w:p>
    <w:p w:rsidR="000C7554" w:rsidRDefault="000C7554" w:rsidP="00EA3890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  <w:r>
        <w:rPr>
          <w:rFonts w:ascii="Arial" w:hAnsi="Arial" w:cs="Arial"/>
          <w:color w:val="000009"/>
          <w:lang w:val="pt-BR"/>
        </w:rPr>
        <w:t>Prefeito Municipal.</w:t>
      </w:r>
    </w:p>
    <w:p w:rsidR="00FF334A" w:rsidRDefault="00FF334A" w:rsidP="00FF334A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FF334A" w:rsidRDefault="00FF334A" w:rsidP="00FF334A">
      <w:pPr>
        <w:spacing w:before="120" w:after="120"/>
        <w:jc w:val="both"/>
        <w:rPr>
          <w:rFonts w:ascii="Arial" w:hAnsi="Arial" w:cs="Arial"/>
          <w:color w:val="000009"/>
          <w:lang w:val="pt-BR"/>
        </w:rPr>
      </w:pPr>
    </w:p>
    <w:p w:rsidR="00CF62C1" w:rsidRPr="00FF334A" w:rsidRDefault="00CF62C1">
      <w:pPr>
        <w:rPr>
          <w:lang w:val="pt-BR"/>
        </w:rPr>
      </w:pPr>
    </w:p>
    <w:sectPr w:rsidR="00CF62C1" w:rsidRPr="00FF334A" w:rsidSect="0051526F">
      <w:pgSz w:w="11906" w:h="16838"/>
      <w:pgMar w:top="198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9"/>
    <w:rsid w:val="000C7554"/>
    <w:rsid w:val="003352A1"/>
    <w:rsid w:val="003F1C94"/>
    <w:rsid w:val="00463479"/>
    <w:rsid w:val="004C2AB5"/>
    <w:rsid w:val="004F27EF"/>
    <w:rsid w:val="0051526F"/>
    <w:rsid w:val="007C285D"/>
    <w:rsid w:val="00823B1C"/>
    <w:rsid w:val="009646EE"/>
    <w:rsid w:val="009843F6"/>
    <w:rsid w:val="00A662B0"/>
    <w:rsid w:val="00AA70F6"/>
    <w:rsid w:val="00CA16F9"/>
    <w:rsid w:val="00CF62C1"/>
    <w:rsid w:val="00D62065"/>
    <w:rsid w:val="00EA389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DD22-652C-4B78-BAA5-C07CC33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334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FF334A"/>
    <w:pPr>
      <w:spacing w:before="119"/>
      <w:ind w:left="2012" w:right="273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F334A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F334A"/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F334A"/>
    <w:rPr>
      <w:rFonts w:ascii="Times New Roman" w:eastAsia="Times New Roman" w:hAnsi="Times New Roman" w:cs="Times New Roman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85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1467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CONTROLE INTERNO</cp:lastModifiedBy>
  <cp:revision>13</cp:revision>
  <cp:lastPrinted>2017-12-11T17:57:00Z</cp:lastPrinted>
  <dcterms:created xsi:type="dcterms:W3CDTF">2017-12-11T13:23:00Z</dcterms:created>
  <dcterms:modified xsi:type="dcterms:W3CDTF">2017-12-11T18:09:00Z</dcterms:modified>
</cp:coreProperties>
</file>