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74845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845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4.922.917,07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96,61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674.206,54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58,91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1.092.848,47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136,35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1.877.087,80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103,79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1.278.774,26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95,37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28.453.271,30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78,31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8.159.165,66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76,97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79.140,05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13,19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1.806.832,75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200,76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18.246.900,22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76,03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161.232,62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68,61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33.376.188,37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80,56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438174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174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5.589.075,19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4.436.611,22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4.398.928,97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3.970.753,25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71,04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5.459.512,48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4.312.220,71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78,99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4.274.718,46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78,30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3.846.542,74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70,46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129.562,71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124.390,51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96,01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124.210,51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95,87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124.210,51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95,87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970.904,00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79,56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79,56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79,56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969.464,00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79,68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6.395.620,65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6.607.594,70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5.219.771,89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79,00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5.182.089,64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78,43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4.753.913,92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71,95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4045216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216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5.219.771,89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5.182.089,64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4.753.913,92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5.219.771,89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5.182.089,64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4.753.913,92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5.006.428,26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175.661,38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ind w:right="40"/>
              <w:jc w:val="right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15,64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15,53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ind w:right="40"/>
              <w:jc w:val="right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2022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3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1439305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305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5.006.428,26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5.219.771,89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79.407,07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4.538.158,07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5.196.040,79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657.882,72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17.288,13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675.170,85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2022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4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3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0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78517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5175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1.303.481,22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71,42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1.295.654,09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71,09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7.827,13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308,15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1.303.481,22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71,42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56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041334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1334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1.416.180,00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3.152.293,06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2.436.523,76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77,29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2.170.788,23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68,86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2.073.507,27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65,78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1.360.930,00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2.989.834,03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2.366.318,59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2.117.334,58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2.020.053,62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67,56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55.250,00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162.459,03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70.205,17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53.453,65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53.453,65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931.728,25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96,40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290.898,45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30,10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278.398,45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28,80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931.728,25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96,40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290.898,45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30,10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278.398,45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28,80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996.772,34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677.225,52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668.675,22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67,08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599.092,78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60,10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996.772,34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677.225,52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668.675,22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67,08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599.092,78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60,10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48.715,50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46.691,79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46.489,70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53,58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48.715,50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46.691,79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46.489,70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53,58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83.773,43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2.281.830,00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5.286.122,08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4.120.757,89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77,95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3.203.618,55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60,60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3.024.053,06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57,21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6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/>
        </w:tc>
        <w:tc>
          <w:tcPr>
            <w:tcW w:w="3400" w:type="dxa"/>
            <w:gridSpan w:val="4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459442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442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6.539.530,65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8.741.368,25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6.873.134,98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78,63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6.569.717,20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6.044.260,52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69,15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1.202.500,00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1.937.424,37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1.704.170,31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1.063.340,51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54,88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1.050.840,51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54,24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711.370,00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997.793,66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678.246,84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67,97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669.696,54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67,12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600.114,10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60,14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8.943,69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48.715,50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46.691,79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46.489,70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53,58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7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A4FAA" w:rsidRDefault="003A4FA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A4FAA" w:rsidRDefault="003A4FAA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8.677.450,65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11.893.716,78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9.340.529,78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78,53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8.385.708,19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70,51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7.777.966,98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65,40</w:t>
            </w:r>
          </w:p>
        </w:tc>
        <w:tc>
          <w:tcPr>
            <w:tcW w:w="108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7697705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7705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4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3A4FAA" w:rsidRDefault="003A4FAA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A4FAA" w:rsidRDefault="003A4FAA">
            <w:pPr>
              <w:pStyle w:val="EMPTYCELLSTYLE"/>
            </w:pPr>
          </w:p>
        </w:tc>
        <w:tc>
          <w:tcPr>
            <w:tcW w:w="1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A4FAA" w:rsidRDefault="0089171D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23.600,00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22.640,00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23.600,00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FAA" w:rsidRDefault="0089171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4FAA" w:rsidRDefault="003A4FAA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3A4FAA" w:rsidRDefault="003A4FAA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A4FAA" w:rsidRDefault="003A4FAA">
            <w:pPr>
              <w:pStyle w:val="EMPTYCELLSTYLE"/>
            </w:pPr>
          </w:p>
        </w:tc>
        <w:tc>
          <w:tcPr>
            <w:tcW w:w="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28/09/2023, às 09:07:46.</w:t>
            </w:r>
          </w:p>
        </w:tc>
        <w:tc>
          <w:tcPr>
            <w:tcW w:w="5160" w:type="dxa"/>
            <w:gridSpan w:val="19"/>
          </w:tcPr>
          <w:p w:rsidR="003A4FAA" w:rsidRDefault="003A4FAA">
            <w:pPr>
              <w:pStyle w:val="EMPTYCELLSTYLE"/>
            </w:pPr>
          </w:p>
        </w:tc>
        <w:tc>
          <w:tcPr>
            <w:tcW w:w="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¹ Nos cinco primeiros bimestres do exercício, o acompanhamento será feito com base na despesa liquidada. No últi</w:t>
            </w:r>
            <w:r>
              <w:rPr>
                <w:rFonts w:ascii="Arial" w:eastAsia="Arial" w:hAnsi="Arial" w:cs="Arial"/>
                <w:color w:val="000000"/>
                <w:sz w:val="12"/>
              </w:rPr>
              <w:t>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restos a pagar considerava apenas os valores dos restos a pagar não processados (regra antiga). A partir do exercíci</w:t>
            </w:r>
            <w:r>
              <w:rPr>
                <w:rFonts w:ascii="Arial" w:eastAsia="Arial" w:hAnsi="Arial" w:cs="Arial"/>
                <w:color w:val="000000"/>
                <w:sz w:val="12"/>
              </w:rPr>
              <w:t>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são consideradas executadas pelo ente transferidor.</w:t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FAA" w:rsidRDefault="0089171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3A4FAA" w:rsidRDefault="003A4FAA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A4FAA" w:rsidRDefault="003A4FAA">
            <w:pPr>
              <w:pStyle w:val="EMPTYCELLSTYLE"/>
            </w:pPr>
          </w:p>
        </w:tc>
        <w:tc>
          <w:tcPr>
            <w:tcW w:w="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FAA" w:rsidRDefault="0089171D">
            <w:r>
              <w:rPr>
                <w:rFonts w:ascii="Arial" w:eastAsia="Arial" w:hAnsi="Arial" w:cs="Arial"/>
                <w:color w:val="000000"/>
                <w:sz w:val="16"/>
              </w:rPr>
              <w:t>ÁGUA DOCE,     28/09/2023</w:t>
            </w:r>
          </w:p>
        </w:tc>
        <w:tc>
          <w:tcPr>
            <w:tcW w:w="192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A4FAA" w:rsidRDefault="003A4FAA">
            <w:pPr>
              <w:pStyle w:val="EMPTYCELLSTYLE"/>
            </w:pPr>
          </w:p>
        </w:tc>
        <w:tc>
          <w:tcPr>
            <w:tcW w:w="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0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3A4FAA" w:rsidRDefault="003A4FAA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3A4FAA" w:rsidRDefault="003A4FAA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A4FAA" w:rsidRDefault="003A4FAA">
            <w:pPr>
              <w:pStyle w:val="EMPTYCELLSTYLE"/>
            </w:pPr>
          </w:p>
        </w:tc>
        <w:tc>
          <w:tcPr>
            <w:tcW w:w="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  <w:tr w:rsidR="003A4FA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"/>
              <w:gridCol w:w="3000"/>
              <w:gridCol w:w="9920"/>
            </w:tblGrid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  <w:tr w:rsidR="003A4F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3A4FAA" w:rsidRDefault="003A4FA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A4FAA" w:rsidRDefault="008917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3A4FAA" w:rsidRDefault="003A4FAA">
                  <w:pPr>
                    <w:pStyle w:val="EMPTYCELLSTYLE"/>
                  </w:pPr>
                </w:p>
              </w:tc>
            </w:tr>
          </w:tbl>
          <w:p w:rsidR="003A4FAA" w:rsidRDefault="003A4FAA">
            <w:pPr>
              <w:pStyle w:val="EMPTYCELLSTYLE"/>
            </w:pPr>
          </w:p>
        </w:tc>
        <w:tc>
          <w:tcPr>
            <w:tcW w:w="20" w:type="dxa"/>
          </w:tcPr>
          <w:p w:rsidR="003A4FAA" w:rsidRDefault="003A4FAA">
            <w:pPr>
              <w:pStyle w:val="EMPTYCELLSTYLE"/>
            </w:pPr>
          </w:p>
        </w:tc>
        <w:tc>
          <w:tcPr>
            <w:tcW w:w="1" w:type="dxa"/>
          </w:tcPr>
          <w:p w:rsidR="003A4FAA" w:rsidRDefault="003A4FAA">
            <w:pPr>
              <w:pStyle w:val="EMPTYCELLSTYLE"/>
            </w:pPr>
          </w:p>
        </w:tc>
      </w:tr>
    </w:tbl>
    <w:p w:rsidR="0089171D" w:rsidRDefault="0089171D"/>
    <w:sectPr w:rsidR="0089171D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AA"/>
    <w:rsid w:val="003A4FAA"/>
    <w:rsid w:val="0089171D"/>
    <w:rsid w:val="008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66A9C-B775-486A-800A-E7C47E2E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3078</Words>
  <Characters>16623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2023-09-28T12:09:00Z</dcterms:created>
  <dcterms:modified xsi:type="dcterms:W3CDTF">2023-09-28T12:09:00Z</dcterms:modified>
</cp:coreProperties>
</file>