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7855" w14:textId="56743802" w:rsidR="002B65EC" w:rsidRDefault="002B65EC" w:rsidP="002B65EC">
      <w:pPr>
        <w:pStyle w:val="Corpodetex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N.</w:t>
      </w:r>
      <w:r>
        <w:rPr>
          <w:rFonts w:ascii="Arial Narrow" w:hAnsi="Arial Narrow"/>
          <w:b/>
          <w:bCs/>
        </w:rPr>
        <w:t xml:space="preserve"> </w:t>
      </w:r>
      <w:r w:rsidR="00A8015A" w:rsidRPr="00A8015A">
        <w:rPr>
          <w:rFonts w:ascii="Arial Narrow" w:hAnsi="Arial Narrow"/>
          <w:b/>
          <w:bCs/>
        </w:rPr>
        <w:t>6</w:t>
      </w:r>
      <w:r w:rsidR="005805AE">
        <w:rPr>
          <w:rFonts w:ascii="Arial Narrow" w:hAnsi="Arial Narrow"/>
          <w:b/>
          <w:bCs/>
        </w:rPr>
        <w:t>3</w:t>
      </w:r>
      <w:r>
        <w:rPr>
          <w:rFonts w:ascii="Arial Narrow" w:hAnsi="Arial Narrow"/>
          <w:b/>
          <w:bCs/>
        </w:rPr>
        <w:t>/2024</w:t>
      </w:r>
    </w:p>
    <w:p w14:paraId="19E9FDF1" w14:textId="77777777" w:rsidR="002B65EC" w:rsidRDefault="002B65EC" w:rsidP="002B65EC">
      <w:pPr>
        <w:pStyle w:val="Corpodetexto"/>
        <w:ind w:left="142" w:right="120"/>
        <w:jc w:val="center"/>
        <w:rPr>
          <w:rFonts w:ascii="Arial Narrow" w:hAnsi="Arial Narrow" w:cs="Arial MT"/>
          <w:b/>
          <w:bCs/>
        </w:rPr>
      </w:pPr>
    </w:p>
    <w:p w14:paraId="40BFCEB5" w14:textId="77777777" w:rsidR="002B65EC" w:rsidRDefault="002B65EC" w:rsidP="002B65EC">
      <w:pPr>
        <w:pStyle w:val="Corpodetexto"/>
        <w:ind w:left="142" w:right="120"/>
        <w:jc w:val="center"/>
        <w:rPr>
          <w:rFonts w:ascii="Arial Narrow" w:hAnsi="Arial Narrow"/>
          <w:b/>
          <w:bCs/>
        </w:rPr>
      </w:pPr>
    </w:p>
    <w:p w14:paraId="1969CC86" w14:textId="47C3AE76" w:rsidR="002B65EC" w:rsidRDefault="002B65EC" w:rsidP="002B65EC">
      <w:pPr>
        <w:pStyle w:val="Corpodetexto"/>
        <w:ind w:left="142" w:right="120"/>
        <w:jc w:val="both"/>
        <w:rPr>
          <w:rFonts w:ascii="Arial Narrow" w:hAnsi="Arial Narrow"/>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MUNICIPAL DE DESENVOLVIMENTO ECONÔMICO, TURISMO E URBANISMO,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322, centro, Água Doce (SC), 89.654-000 , inscrito no CNPJ sob nº 82.939.398/0001-90, neste ato representada pel</w:t>
      </w:r>
      <w:r>
        <w:rPr>
          <w:rFonts w:ascii="Arial Narrow" w:hAnsi="Arial Narrow" w:cs="Arial"/>
        </w:rPr>
        <w:t>a</w:t>
      </w:r>
      <w:r>
        <w:rPr>
          <w:rFonts w:ascii="Arial Narrow" w:hAnsi="Arial Narrow" w:cs="Arial"/>
        </w:rPr>
        <w:t xml:space="preserve"> Prefeit</w:t>
      </w:r>
      <w:r>
        <w:rPr>
          <w:rFonts w:ascii="Arial Narrow" w:hAnsi="Arial Narrow" w:cs="Arial"/>
        </w:rPr>
        <w:t>a</w:t>
      </w:r>
      <w:r>
        <w:rPr>
          <w:rFonts w:ascii="Arial Narrow" w:hAnsi="Arial Narrow" w:cs="Arial"/>
        </w:rPr>
        <w:t xml:space="preserve"> Municipal Sr</w:t>
      </w:r>
      <w:r>
        <w:rPr>
          <w:rFonts w:ascii="Arial Narrow" w:hAnsi="Arial Narrow" w:cs="Arial"/>
        </w:rPr>
        <w:t>a</w:t>
      </w:r>
      <w:r>
        <w:rPr>
          <w:rFonts w:ascii="Arial Narrow" w:hAnsi="Arial Narrow" w:cs="Arial"/>
        </w:rPr>
        <w:t xml:space="preserve">. </w:t>
      </w:r>
      <w:proofErr w:type="spellStart"/>
      <w:r>
        <w:rPr>
          <w:rFonts w:ascii="Arial Narrow" w:hAnsi="Arial Narrow" w:cs="Arial"/>
        </w:rPr>
        <w:t>Nelci</w:t>
      </w:r>
      <w:proofErr w:type="spellEnd"/>
      <w:r>
        <w:rPr>
          <w:rFonts w:ascii="Arial Narrow" w:hAnsi="Arial Narrow" w:cs="Arial"/>
        </w:rPr>
        <w:t xml:space="preserve"> Fátima Trento Bortolini</w:t>
      </w:r>
      <w:r>
        <w:rPr>
          <w:rFonts w:ascii="Arial Narrow" w:hAnsi="Arial Narrow" w:cs="Arial"/>
        </w:rPr>
        <w:t xml:space="preserve"> </w:t>
      </w:r>
      <w:r>
        <w:rPr>
          <w:rFonts w:ascii="Arial Narrow" w:hAnsi="Arial Narrow"/>
        </w:rPr>
        <w:t>considerando o julgamento do Pregão Eletrônico n. 3</w:t>
      </w:r>
      <w:r>
        <w:rPr>
          <w:rFonts w:ascii="Arial Narrow" w:hAnsi="Arial Narrow"/>
        </w:rPr>
        <w:t>6</w:t>
      </w:r>
      <w:r>
        <w:rPr>
          <w:rFonts w:ascii="Arial Narrow" w:hAnsi="Arial Narrow"/>
        </w:rPr>
        <w:t xml:space="preserve">/2024/PMAD – Processo Licitatório n. </w:t>
      </w:r>
      <w:r>
        <w:rPr>
          <w:rFonts w:ascii="Arial Narrow" w:hAnsi="Arial Narrow"/>
        </w:rPr>
        <w:t>132</w:t>
      </w:r>
      <w:r>
        <w:rPr>
          <w:rFonts w:ascii="Arial Narrow" w:hAnsi="Arial Narrow"/>
        </w:rPr>
        <w:t xml:space="preserve">/2024/PMAD, RESOLVE registrar os preços da Empresa </w:t>
      </w:r>
      <w:r w:rsidR="00E809F1" w:rsidRPr="00E809F1">
        <w:rPr>
          <w:rFonts w:ascii="Arial Narrow" w:hAnsi="Arial Narrow"/>
          <w:b/>
          <w:bCs/>
        </w:rPr>
        <w:t>LOGMOV SOLU</w:t>
      </w:r>
      <w:r w:rsidR="00E809F1" w:rsidRPr="00E809F1">
        <w:rPr>
          <w:rFonts w:ascii="Arial Narrow" w:hAnsi="Arial Narrow"/>
          <w:b/>
          <w:bCs/>
        </w:rPr>
        <w:t>ÇÕ</w:t>
      </w:r>
      <w:r w:rsidR="00E809F1" w:rsidRPr="00E809F1">
        <w:rPr>
          <w:rFonts w:ascii="Arial Narrow" w:hAnsi="Arial Narrow"/>
          <w:b/>
          <w:bCs/>
        </w:rPr>
        <w:t>ES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E809F1" w:rsidRPr="00E809F1">
        <w:rPr>
          <w:rFonts w:ascii="Arial Narrow" w:hAnsi="Arial Narrow"/>
        </w:rPr>
        <w:t>44.333.497/0001-35</w:t>
      </w:r>
      <w:r>
        <w:rPr>
          <w:rFonts w:ascii="Arial Narrow" w:hAnsi="Arial Narrow"/>
        </w:rPr>
        <w:t xml:space="preserve"> estabelecida na </w:t>
      </w:r>
      <w:r w:rsidR="00E809F1">
        <w:rPr>
          <w:rFonts w:ascii="Arial Narrow" w:hAnsi="Arial Narrow"/>
        </w:rPr>
        <w:t xml:space="preserve">Rua </w:t>
      </w:r>
      <w:r w:rsidR="00E809F1" w:rsidRPr="00E809F1">
        <w:rPr>
          <w:rFonts w:ascii="Arial Narrow" w:hAnsi="Arial Narrow"/>
        </w:rPr>
        <w:t xml:space="preserve">Dos </w:t>
      </w:r>
      <w:proofErr w:type="spellStart"/>
      <w:r w:rsidR="00E809F1" w:rsidRPr="00E809F1">
        <w:rPr>
          <w:rFonts w:ascii="Arial Narrow" w:hAnsi="Arial Narrow"/>
        </w:rPr>
        <w:t>Aerosois</w:t>
      </w:r>
      <w:proofErr w:type="spellEnd"/>
      <w:r>
        <w:rPr>
          <w:rFonts w:ascii="Arial Narrow" w:hAnsi="Arial Narrow"/>
        </w:rPr>
        <w:t xml:space="preserve">, </w:t>
      </w:r>
      <w:r w:rsidR="00E809F1">
        <w:rPr>
          <w:rFonts w:ascii="Arial Narrow" w:hAnsi="Arial Narrow"/>
        </w:rPr>
        <w:t xml:space="preserve">n. 179, </w:t>
      </w:r>
      <w:r>
        <w:rPr>
          <w:rFonts w:ascii="Arial Narrow" w:hAnsi="Arial Narrow"/>
        </w:rPr>
        <w:t xml:space="preserve">Bairro </w:t>
      </w:r>
      <w:r w:rsidR="00E809F1">
        <w:rPr>
          <w:rFonts w:ascii="Arial Narrow" w:hAnsi="Arial Narrow"/>
        </w:rPr>
        <w:t>Capela</w:t>
      </w:r>
      <w:r>
        <w:rPr>
          <w:rFonts w:ascii="Arial Narrow" w:hAnsi="Arial Narrow"/>
        </w:rPr>
        <w:t xml:space="preserve">, no Município de </w:t>
      </w:r>
      <w:r w:rsidR="00E809F1">
        <w:rPr>
          <w:rFonts w:ascii="Arial Narrow" w:hAnsi="Arial Narrow"/>
        </w:rPr>
        <w:t>Vinhedo (SP)</w:t>
      </w:r>
      <w:r>
        <w:rPr>
          <w:rFonts w:ascii="Arial Narrow" w:hAnsi="Arial Narrow"/>
        </w:rPr>
        <w:t xml:space="preserve">, neste ato representada pelo Sr. </w:t>
      </w:r>
      <w:r w:rsidR="00E809F1" w:rsidRPr="00E809F1">
        <w:rPr>
          <w:rFonts w:ascii="Arial Narrow" w:hAnsi="Arial Narrow"/>
        </w:rPr>
        <w:t>GLAUCO HENRIQUE DA CRUZ</w:t>
      </w:r>
      <w:r w:rsidR="00E809F1">
        <w:rPr>
          <w:rFonts w:ascii="Arial Narrow" w:hAnsi="Arial Narrow"/>
        </w:rPr>
        <w:t xml:space="preserve">, </w:t>
      </w:r>
      <w:r>
        <w:rPr>
          <w:rFonts w:ascii="Arial Narrow" w:hAnsi="Arial Narrow"/>
        </w:rPr>
        <w:t xml:space="preserve">inscrito(a) no CPF sob o nº </w:t>
      </w:r>
      <w:r w:rsidR="00E809F1" w:rsidRPr="00E809F1">
        <w:rPr>
          <w:rFonts w:ascii="Arial Narrow" w:hAnsi="Arial Narrow"/>
        </w:rPr>
        <w:t>338.356.858-05</w:t>
      </w:r>
      <w:r>
        <w:rPr>
          <w:rFonts w:ascii="Arial Narrow" w:hAnsi="Arial Narrow"/>
        </w:rPr>
        <w:t>, de acordo com a classificação por ela alcançada e mas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0AD7F132" w14:textId="77777777" w:rsidR="002B65EC" w:rsidRDefault="002B65EC" w:rsidP="002B65EC">
      <w:pPr>
        <w:pStyle w:val="Corpodetexto"/>
        <w:ind w:left="142" w:right="120"/>
        <w:jc w:val="both"/>
        <w:rPr>
          <w:rFonts w:ascii="Arial Narrow" w:hAnsi="Arial Narrow"/>
        </w:rPr>
      </w:pPr>
    </w:p>
    <w:p w14:paraId="194CCDB4" w14:textId="77777777" w:rsidR="002B65EC" w:rsidRDefault="002B65EC" w:rsidP="002B65EC">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 xml:space="preserve">DO OBJETO </w:t>
      </w:r>
    </w:p>
    <w:p w14:paraId="327C3142" w14:textId="77777777" w:rsidR="002B65EC" w:rsidRDefault="002B65EC" w:rsidP="002B65EC">
      <w:pPr>
        <w:pStyle w:val="Corpodetexto"/>
        <w:ind w:left="567" w:right="120" w:hanging="425"/>
        <w:jc w:val="both"/>
        <w:rPr>
          <w:rFonts w:ascii="Arial Narrow" w:hAnsi="Arial Narrow"/>
        </w:rPr>
      </w:pPr>
    </w:p>
    <w:p w14:paraId="617A73A9"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 xml:space="preserve">Constitui objeto da presente Ata, o </w:t>
      </w:r>
      <w:r>
        <w:rPr>
          <w:rFonts w:ascii="Arial Narrow" w:hAnsi="Arial Narrow" w:cs="Arial"/>
          <w:b/>
          <w:bCs/>
        </w:rPr>
        <w:t>Registro de Preços para futura e eventual aquisição de lixeiras plásticas monobloco vazado e lixeiras container para serem utilizadas em diversos locais públicos do município, no período de até 12 (doze) meses.</w:t>
      </w:r>
    </w:p>
    <w:p w14:paraId="31B40D8F" w14:textId="77777777" w:rsidR="002B65EC" w:rsidRDefault="002B65EC" w:rsidP="002B65EC">
      <w:pPr>
        <w:pStyle w:val="Corpodetexto"/>
        <w:ind w:left="567" w:right="120"/>
        <w:jc w:val="both"/>
        <w:rPr>
          <w:rFonts w:ascii="Arial Narrow" w:hAnsi="Arial Narrow"/>
          <w:b/>
          <w:bCs/>
        </w:rPr>
      </w:pPr>
    </w:p>
    <w:p w14:paraId="637907C1" w14:textId="77777777" w:rsidR="002B65EC" w:rsidRDefault="002B65EC" w:rsidP="002B65EC">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FORMA DE EXECUÇÃO</w:t>
      </w:r>
    </w:p>
    <w:p w14:paraId="352B6B07" w14:textId="77777777" w:rsidR="002B65EC" w:rsidRDefault="002B65EC" w:rsidP="002B65EC">
      <w:pPr>
        <w:pStyle w:val="Corpodetexto"/>
        <w:ind w:left="567" w:right="120" w:hanging="425"/>
        <w:jc w:val="both"/>
        <w:rPr>
          <w:rFonts w:ascii="Arial Narrow" w:hAnsi="Arial Narrow"/>
          <w:b/>
          <w:bCs/>
        </w:rPr>
      </w:pPr>
    </w:p>
    <w:p w14:paraId="5DB5C54E" w14:textId="77777777" w:rsidR="002B65EC" w:rsidRDefault="002B65EC" w:rsidP="002B65EC">
      <w:pPr>
        <w:pStyle w:val="PargrafodaLista"/>
        <w:numPr>
          <w:ilvl w:val="1"/>
          <w:numId w:val="16"/>
        </w:numPr>
        <w:tabs>
          <w:tab w:val="left" w:pos="505"/>
        </w:tabs>
        <w:rPr>
          <w:rFonts w:ascii="Arial Narrow" w:hAnsi="Arial Narrow" w:cs="Arial"/>
        </w:rPr>
      </w:pPr>
      <w:r>
        <w:rPr>
          <w:rFonts w:ascii="Arial Narrow" w:hAnsi="Arial Narrow" w:cs="Calibri"/>
          <w:szCs w:val="21"/>
        </w:rPr>
        <w:t>Não há possibilidade de subcontratação de partes do serviço.</w:t>
      </w:r>
    </w:p>
    <w:p w14:paraId="215F3268" w14:textId="77777777" w:rsidR="002B65EC" w:rsidRDefault="002B65EC" w:rsidP="002B65EC">
      <w:pPr>
        <w:pStyle w:val="PargrafodaLista"/>
        <w:tabs>
          <w:tab w:val="left" w:pos="505"/>
        </w:tabs>
        <w:ind w:left="502" w:firstLine="0"/>
        <w:rPr>
          <w:rFonts w:ascii="Arial Narrow" w:hAnsi="Arial Narrow" w:cs="Arial"/>
        </w:rPr>
      </w:pPr>
    </w:p>
    <w:p w14:paraId="5C1D76ED" w14:textId="77777777" w:rsidR="002B65EC" w:rsidRDefault="002B65EC" w:rsidP="002B65EC">
      <w:pPr>
        <w:pStyle w:val="PargrafodaLista"/>
        <w:numPr>
          <w:ilvl w:val="1"/>
          <w:numId w:val="16"/>
        </w:numPr>
        <w:tabs>
          <w:tab w:val="left" w:pos="505"/>
        </w:tabs>
        <w:rPr>
          <w:rFonts w:ascii="Arial Narrow" w:hAnsi="Arial Narrow" w:cs="Arial"/>
        </w:rPr>
      </w:pPr>
      <w:r>
        <w:rPr>
          <w:rFonts w:ascii="Arial Narrow" w:hAnsi="Arial Narrow" w:cs="Calibri"/>
          <w:szCs w:val="21"/>
        </w:rPr>
        <w:t>C</w:t>
      </w:r>
      <w:r>
        <w:rPr>
          <w:rFonts w:ascii="Arial Narrow" w:eastAsia="Calibri" w:hAnsi="Arial Narrow" w:cs="Calibri"/>
          <w:szCs w:val="21"/>
        </w:rPr>
        <w:t>aberá a proponente vencedora obedecer ao objeto do presente edital e as disposições legais contratuais, prestando-os dentro dos padrões de qualidade, continuidade e regularidade. Os serviços somente poderão ser fornecidos pela proponente vencedora, vedado, portanto, o fornecimento de serviço por terceiros.</w:t>
      </w:r>
    </w:p>
    <w:p w14:paraId="7168564F" w14:textId="77777777" w:rsidR="002B65EC" w:rsidRDefault="002B65EC" w:rsidP="002B65EC">
      <w:pPr>
        <w:pStyle w:val="PargrafodaLista"/>
        <w:rPr>
          <w:rFonts w:ascii="Arial Narrow" w:eastAsia="Calibri" w:hAnsi="Arial Narrow" w:cs="Calibri"/>
          <w:szCs w:val="21"/>
        </w:rPr>
      </w:pPr>
    </w:p>
    <w:p w14:paraId="4AC40A56" w14:textId="77777777" w:rsidR="002B65EC" w:rsidRDefault="002B65EC" w:rsidP="002B65EC">
      <w:pPr>
        <w:pStyle w:val="PargrafodaLista"/>
        <w:numPr>
          <w:ilvl w:val="1"/>
          <w:numId w:val="16"/>
        </w:numPr>
        <w:tabs>
          <w:tab w:val="left" w:pos="505"/>
        </w:tabs>
        <w:rPr>
          <w:rFonts w:ascii="Arial Narrow" w:hAnsi="Arial Narrow" w:cs="Arial"/>
        </w:rPr>
      </w:pPr>
      <w:r>
        <w:rPr>
          <w:rFonts w:ascii="Arial Narrow" w:eastAsia="Calibri" w:hAnsi="Arial Narrow" w:cs="Calibri"/>
          <w:szCs w:val="21"/>
        </w:rPr>
        <w:t>As quantidades expressas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5DCD65F9" w14:textId="77777777" w:rsidR="002B65EC" w:rsidRDefault="002B65EC" w:rsidP="002B65EC">
      <w:pPr>
        <w:pStyle w:val="PargrafodaLista"/>
        <w:rPr>
          <w:rFonts w:ascii="Arial Narrow" w:hAnsi="Arial Narrow" w:cs="Calibri"/>
          <w:szCs w:val="21"/>
        </w:rPr>
      </w:pPr>
    </w:p>
    <w:p w14:paraId="2BCDEE68" w14:textId="77777777" w:rsidR="002B65EC" w:rsidRDefault="002B65EC" w:rsidP="002B65EC">
      <w:pPr>
        <w:pStyle w:val="PargrafodaLista"/>
        <w:numPr>
          <w:ilvl w:val="1"/>
          <w:numId w:val="16"/>
        </w:numPr>
        <w:tabs>
          <w:tab w:val="left" w:pos="505"/>
        </w:tabs>
        <w:rPr>
          <w:rFonts w:ascii="Arial Narrow" w:hAnsi="Arial Narrow" w:cs="Arial"/>
        </w:rPr>
      </w:pPr>
      <w:r>
        <w:rPr>
          <w:rFonts w:ascii="Arial Narrow" w:hAnsi="Arial Narrow" w:cs="Calibri"/>
          <w:szCs w:val="21"/>
        </w:rPr>
        <w:t>Os serviços deverão ser prestados com base na descrição de cada item, conforme necessidade e solicitação prévia das Secretarias e Departamentos da Municipalidade, informando data, local e horário da prestação do serviço.</w:t>
      </w:r>
    </w:p>
    <w:p w14:paraId="163FC34E" w14:textId="77777777" w:rsidR="002B65EC" w:rsidRDefault="002B65EC" w:rsidP="002B65EC">
      <w:pPr>
        <w:pStyle w:val="PargrafodaLista"/>
        <w:rPr>
          <w:rFonts w:ascii="Arial Narrow" w:hAnsi="Arial Narrow" w:cs="Calibri"/>
          <w:szCs w:val="21"/>
        </w:rPr>
      </w:pPr>
    </w:p>
    <w:p w14:paraId="273451AB" w14:textId="77777777" w:rsidR="002B65EC" w:rsidRDefault="002B65EC" w:rsidP="002B65EC">
      <w:pPr>
        <w:pStyle w:val="PargrafodaLista"/>
        <w:numPr>
          <w:ilvl w:val="1"/>
          <w:numId w:val="16"/>
        </w:numPr>
        <w:tabs>
          <w:tab w:val="left" w:pos="505"/>
        </w:tabs>
        <w:rPr>
          <w:rFonts w:ascii="Arial Narrow" w:hAnsi="Arial Narrow" w:cs="Arial"/>
        </w:rPr>
      </w:pPr>
      <w:r>
        <w:rPr>
          <w:rFonts w:ascii="Arial Narrow" w:hAnsi="Arial Narrow" w:cs="Calibri"/>
          <w:szCs w:val="21"/>
        </w:rPr>
        <w:t>É de responsabilidade da contratada o transporte, diárias, material e uniforme dos prestadores do serviço até os locais designados, inclusive sem custo para a contratante</w:t>
      </w:r>
    </w:p>
    <w:p w14:paraId="1D2DC7CB" w14:textId="77777777" w:rsidR="002B65EC" w:rsidRDefault="002B65EC" w:rsidP="002B65EC">
      <w:pPr>
        <w:pStyle w:val="Corpodetexto"/>
        <w:jc w:val="both"/>
        <w:rPr>
          <w:rFonts w:ascii="Arial Narrow" w:hAnsi="Arial Narrow" w:cs="Arial"/>
        </w:rPr>
      </w:pPr>
    </w:p>
    <w:p w14:paraId="005672D8" w14:textId="77777777" w:rsidR="002B65EC" w:rsidRDefault="002B65EC" w:rsidP="002B65EC">
      <w:pPr>
        <w:pStyle w:val="Corpodetexto"/>
        <w:widowControl w:val="0"/>
        <w:numPr>
          <w:ilvl w:val="0"/>
          <w:numId w:val="16"/>
        </w:numPr>
        <w:autoSpaceDE w:val="0"/>
        <w:autoSpaceDN w:val="0"/>
        <w:spacing w:after="0"/>
        <w:ind w:left="567" w:right="120" w:hanging="425"/>
        <w:jc w:val="both"/>
        <w:rPr>
          <w:rFonts w:ascii="Arial Narrow" w:hAnsi="Arial Narrow" w:cs="Arial MT"/>
          <w:b/>
          <w:bCs/>
        </w:rPr>
      </w:pPr>
      <w:r>
        <w:rPr>
          <w:rFonts w:ascii="Arial Narrow" w:hAnsi="Arial Narrow"/>
          <w:b/>
          <w:bCs/>
        </w:rPr>
        <w:t>DO PRAZO DE VIGÊNCIA</w:t>
      </w:r>
    </w:p>
    <w:p w14:paraId="0F806F82" w14:textId="77777777" w:rsidR="002B65EC" w:rsidRDefault="002B65EC" w:rsidP="002B65EC">
      <w:pPr>
        <w:pStyle w:val="Corpodetexto"/>
        <w:ind w:left="502" w:right="120"/>
        <w:jc w:val="both"/>
        <w:rPr>
          <w:rFonts w:ascii="Arial Narrow" w:hAnsi="Arial Narrow"/>
          <w:b/>
          <w:bCs/>
        </w:rPr>
      </w:pPr>
    </w:p>
    <w:p w14:paraId="4D429A0E"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0F1CEC67" w14:textId="77777777" w:rsidR="002B65EC" w:rsidRDefault="002B65EC" w:rsidP="002B65EC">
      <w:pPr>
        <w:pStyle w:val="Corpodetexto"/>
        <w:ind w:left="502" w:right="120"/>
        <w:jc w:val="both"/>
        <w:rPr>
          <w:rFonts w:ascii="Arial Narrow" w:hAnsi="Arial Narrow"/>
          <w:b/>
          <w:bCs/>
        </w:rPr>
      </w:pPr>
    </w:p>
    <w:p w14:paraId="63A5E4E3"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6E4ABE84" w14:textId="77777777" w:rsidR="002B65EC" w:rsidRDefault="002B65EC" w:rsidP="002B65EC">
      <w:pPr>
        <w:pStyle w:val="PargrafodaLista"/>
        <w:rPr>
          <w:rFonts w:ascii="Arial Narrow" w:hAnsi="Arial Narrow"/>
          <w:b/>
          <w:bCs/>
        </w:rPr>
      </w:pPr>
    </w:p>
    <w:p w14:paraId="447BB6ED" w14:textId="4BA631AD"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lastRenderedPageBreak/>
        <w:t xml:space="preserve">Caso a detentora queira desistir/negar em continuar a executar o objeto do contrato, deverá comunicar com 90 (noventa) dias de antecedência, tendo em vista a necessidade de nova licitação, e principalmente, evitar contratações emergenciais. Em caso de omissão a esta regra, a </w:t>
      </w:r>
      <w:r>
        <w:rPr>
          <w:rFonts w:ascii="Arial Narrow" w:hAnsi="Arial Narrow" w:cs="Arial"/>
        </w:rPr>
        <w:t>detentora</w:t>
      </w:r>
      <w:r>
        <w:rPr>
          <w:rFonts w:ascii="Arial Narrow" w:hAnsi="Arial Narrow" w:cs="Arial"/>
        </w:rPr>
        <w:t xml:space="preserve"> estará aceitando expressamente a renovação do contrato, podendo incorrer em multas e as sanções pertinentes caso venha a desistir/não renovar o contrato após o prazo.</w:t>
      </w:r>
    </w:p>
    <w:p w14:paraId="59258E5E" w14:textId="77777777" w:rsidR="002B65EC" w:rsidRDefault="002B65EC" w:rsidP="002B65EC">
      <w:pPr>
        <w:pStyle w:val="PargrafodaLista"/>
        <w:rPr>
          <w:rFonts w:ascii="Arial Narrow" w:hAnsi="Arial Narrow"/>
          <w:b/>
          <w:bCs/>
        </w:rPr>
      </w:pPr>
    </w:p>
    <w:p w14:paraId="10D3980C" w14:textId="77777777" w:rsidR="002B65EC" w:rsidRDefault="002B65EC" w:rsidP="002B65EC">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DOS PREÇOS, ESPECIFICAÇÕES E QUANTITATIVOS</w:t>
      </w:r>
    </w:p>
    <w:p w14:paraId="207CCD6B" w14:textId="77777777" w:rsidR="002B65EC" w:rsidRDefault="002B65EC" w:rsidP="002B65EC">
      <w:pPr>
        <w:pStyle w:val="Corpodetexto"/>
        <w:ind w:left="502" w:right="120"/>
        <w:jc w:val="both"/>
        <w:rPr>
          <w:rFonts w:ascii="Arial Narrow" w:hAnsi="Arial Narrow"/>
          <w:b/>
          <w:bCs/>
        </w:rPr>
      </w:pPr>
    </w:p>
    <w:p w14:paraId="6EE1392A"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515B0268" w14:textId="77777777" w:rsidR="002B65EC" w:rsidRDefault="002B65EC" w:rsidP="002B65EC">
      <w:pPr>
        <w:pStyle w:val="Corpodetexto"/>
        <w:ind w:left="502" w:right="120"/>
        <w:jc w:val="both"/>
        <w:rPr>
          <w:rFonts w:ascii="Arial Narrow" w:hAnsi="Arial Narrow"/>
          <w:b/>
          <w:bCs/>
        </w:rPr>
      </w:pP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2B65EC" w:rsidRPr="002B65EC" w14:paraId="5737F13D" w14:textId="77777777" w:rsidTr="00760BC4">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2B783D41" w14:textId="77777777" w:rsidR="002B65EC" w:rsidRPr="002B65EC" w:rsidRDefault="002B65EC">
            <w:pPr>
              <w:pStyle w:val="TableParagraph"/>
              <w:ind w:left="89" w:right="79"/>
              <w:jc w:val="center"/>
              <w:rPr>
                <w:rFonts w:ascii="Arial Narrow" w:hAnsi="Arial Narrow" w:cs="Arial"/>
                <w:b/>
                <w:sz w:val="18"/>
                <w:szCs w:val="20"/>
              </w:rPr>
            </w:pPr>
            <w:bookmarkStart w:id="0" w:name="_Hlk176875040"/>
            <w:r w:rsidRPr="002B65EC">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3ED2A88D" w14:textId="77777777" w:rsidR="002B65EC" w:rsidRPr="002B65EC" w:rsidRDefault="002B65EC">
            <w:pPr>
              <w:pStyle w:val="TableParagraph"/>
              <w:ind w:left="125" w:right="121"/>
              <w:jc w:val="center"/>
              <w:rPr>
                <w:rFonts w:ascii="Arial Narrow" w:hAnsi="Arial Narrow" w:cs="Arial"/>
                <w:b/>
                <w:sz w:val="18"/>
                <w:szCs w:val="20"/>
              </w:rPr>
            </w:pPr>
            <w:r w:rsidRPr="002B65EC">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3298FD12" w14:textId="77777777" w:rsidR="002B65EC" w:rsidRPr="002B65EC" w:rsidRDefault="002B65EC">
            <w:pPr>
              <w:pStyle w:val="TableParagraph"/>
              <w:ind w:left="122" w:right="111"/>
              <w:jc w:val="center"/>
              <w:rPr>
                <w:rFonts w:ascii="Arial Narrow" w:hAnsi="Arial Narrow" w:cs="Arial"/>
                <w:b/>
                <w:sz w:val="18"/>
                <w:szCs w:val="20"/>
              </w:rPr>
            </w:pPr>
            <w:r w:rsidRPr="002B65EC">
              <w:rPr>
                <w:rFonts w:ascii="Arial Narrow" w:hAnsi="Arial Narrow" w:cs="Arial"/>
                <w:b/>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323158D5" w14:textId="77777777" w:rsidR="002B65EC" w:rsidRPr="002B65EC" w:rsidRDefault="002B65EC">
            <w:pPr>
              <w:pStyle w:val="TableParagraph"/>
              <w:ind w:left="17"/>
              <w:jc w:val="center"/>
              <w:rPr>
                <w:rFonts w:ascii="Arial Narrow" w:hAnsi="Arial Narrow" w:cs="Arial"/>
                <w:b/>
                <w:sz w:val="18"/>
                <w:szCs w:val="20"/>
              </w:rPr>
            </w:pPr>
            <w:r w:rsidRPr="002B65EC">
              <w:rPr>
                <w:rFonts w:ascii="Arial Narrow" w:hAnsi="Arial Narrow" w:cs="Arial"/>
                <w:b/>
                <w:sz w:val="18"/>
                <w:szCs w:val="20"/>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2A29AD2F" w14:textId="77777777" w:rsidR="002B65EC" w:rsidRPr="002B65EC" w:rsidRDefault="002B65EC">
            <w:pPr>
              <w:pStyle w:val="TableParagraph"/>
              <w:ind w:left="153" w:right="146" w:firstLine="5"/>
              <w:jc w:val="center"/>
              <w:rPr>
                <w:rFonts w:ascii="Arial Narrow" w:hAnsi="Arial Narrow" w:cs="Arial"/>
                <w:b/>
                <w:sz w:val="18"/>
                <w:szCs w:val="20"/>
              </w:rPr>
            </w:pPr>
            <w:r w:rsidRPr="002B65EC">
              <w:rPr>
                <w:rFonts w:ascii="Arial Narrow" w:hAnsi="Arial Narrow" w:cs="Arial"/>
                <w:b/>
                <w:sz w:val="18"/>
                <w:szCs w:val="20"/>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BE5BAB2" w14:textId="77777777" w:rsidR="002B65EC" w:rsidRPr="002B65EC" w:rsidRDefault="002B65EC">
            <w:pPr>
              <w:pStyle w:val="TableParagraph"/>
              <w:ind w:left="155" w:right="147" w:firstLine="5"/>
              <w:jc w:val="center"/>
              <w:rPr>
                <w:rFonts w:ascii="Arial Narrow" w:hAnsi="Arial Narrow" w:cs="Arial"/>
                <w:b/>
                <w:sz w:val="18"/>
                <w:szCs w:val="20"/>
              </w:rPr>
            </w:pPr>
            <w:r w:rsidRPr="002B65EC">
              <w:rPr>
                <w:rFonts w:ascii="Arial Narrow" w:hAnsi="Arial Narrow" w:cs="Arial"/>
                <w:b/>
                <w:sz w:val="18"/>
                <w:szCs w:val="20"/>
              </w:rPr>
              <w:t>VALOR TOTAL (R$)</w:t>
            </w:r>
          </w:p>
        </w:tc>
      </w:tr>
      <w:tr w:rsidR="002B65EC" w:rsidRPr="002B65EC" w14:paraId="16840B49" w14:textId="77777777" w:rsidTr="00760BC4">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182EA24E" w14:textId="1AEB8F3E" w:rsidR="002B65EC" w:rsidRPr="002B65EC" w:rsidRDefault="00760BC4">
            <w:pPr>
              <w:pStyle w:val="TableParagraph"/>
              <w:ind w:left="14"/>
              <w:jc w:val="center"/>
              <w:rPr>
                <w:rFonts w:ascii="Arial Narrow" w:hAnsi="Arial Narrow" w:cs="Arial"/>
                <w:sz w:val="18"/>
                <w:szCs w:val="20"/>
              </w:rPr>
            </w:pPr>
            <w:r>
              <w:rPr>
                <w:rFonts w:ascii="Arial Narrow" w:hAnsi="Arial Narrow" w:cs="Arial"/>
                <w:sz w:val="18"/>
                <w:szCs w:val="20"/>
              </w:rPr>
              <w:t>02</w:t>
            </w:r>
          </w:p>
        </w:tc>
        <w:tc>
          <w:tcPr>
            <w:tcW w:w="852" w:type="dxa"/>
            <w:tcBorders>
              <w:top w:val="single" w:sz="4" w:space="0" w:color="000000"/>
              <w:left w:val="single" w:sz="4" w:space="0" w:color="000000"/>
              <w:bottom w:val="single" w:sz="4" w:space="0" w:color="000000"/>
              <w:right w:val="single" w:sz="4" w:space="0" w:color="000000"/>
            </w:tcBorders>
            <w:vAlign w:val="center"/>
          </w:tcPr>
          <w:p w14:paraId="50154873" w14:textId="2A1F2B15" w:rsidR="002B65EC" w:rsidRPr="002B65EC" w:rsidRDefault="00760BC4">
            <w:pPr>
              <w:pStyle w:val="TableParagraph"/>
              <w:ind w:left="125" w:right="118"/>
              <w:jc w:val="center"/>
              <w:rPr>
                <w:rFonts w:ascii="Arial Narrow" w:hAnsi="Arial Narrow" w:cs="Arial"/>
                <w:sz w:val="18"/>
                <w:szCs w:val="20"/>
              </w:rPr>
            </w:pPr>
            <w:r>
              <w:rPr>
                <w:rFonts w:ascii="Arial Narrow" w:hAnsi="Arial Narrow" w:cs="Arial"/>
                <w:sz w:val="18"/>
                <w:szCs w:val="20"/>
              </w:rPr>
              <w:t>50</w:t>
            </w:r>
          </w:p>
        </w:tc>
        <w:tc>
          <w:tcPr>
            <w:tcW w:w="718" w:type="dxa"/>
            <w:tcBorders>
              <w:top w:val="single" w:sz="4" w:space="0" w:color="000000"/>
              <w:left w:val="single" w:sz="4" w:space="0" w:color="000000"/>
              <w:bottom w:val="single" w:sz="4" w:space="0" w:color="000000"/>
              <w:right w:val="single" w:sz="4" w:space="0" w:color="000000"/>
            </w:tcBorders>
            <w:vAlign w:val="center"/>
          </w:tcPr>
          <w:p w14:paraId="5B8953DE" w14:textId="1A6F93E7" w:rsidR="002B65EC" w:rsidRPr="002B65EC" w:rsidRDefault="00760BC4">
            <w:pPr>
              <w:pStyle w:val="TableParagraph"/>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3E6361A9" w14:textId="50462795" w:rsidR="002B65EC" w:rsidRPr="002B65EC" w:rsidRDefault="00760BC4">
            <w:pPr>
              <w:pStyle w:val="TableParagraph"/>
              <w:ind w:left="107" w:right="99"/>
              <w:jc w:val="both"/>
              <w:rPr>
                <w:rFonts w:ascii="Arial Narrow" w:hAnsi="Arial Narrow" w:cs="Arial"/>
                <w:sz w:val="18"/>
                <w:szCs w:val="20"/>
              </w:rPr>
            </w:pPr>
            <w:r w:rsidRPr="00760BC4">
              <w:rPr>
                <w:rFonts w:ascii="Arial Narrow" w:hAnsi="Arial Narrow" w:cs="Calibri"/>
                <w:bCs/>
                <w:sz w:val="18"/>
              </w:rPr>
              <w:t>Container Plastico 1000L com roda e munhão para basculamento lateral em camminhões de coleta urbana, em plastico polietileno de alta densidade (PEAD) extra resistente com aditivo antioxidante e proteção UV classe 8, para impedir o desbotamento da cor. Produto fabricado em conformidade com a norma DIN EN 840 e é certificado pela ABNT NBR 15911:2010</w:t>
            </w:r>
          </w:p>
        </w:tc>
        <w:tc>
          <w:tcPr>
            <w:tcW w:w="1561" w:type="dxa"/>
            <w:tcBorders>
              <w:top w:val="single" w:sz="4" w:space="0" w:color="000000"/>
              <w:left w:val="single" w:sz="4" w:space="0" w:color="000000"/>
              <w:bottom w:val="single" w:sz="4" w:space="0" w:color="000000"/>
              <w:right w:val="single" w:sz="4" w:space="0" w:color="000000"/>
            </w:tcBorders>
            <w:vAlign w:val="center"/>
          </w:tcPr>
          <w:p w14:paraId="05A66D76" w14:textId="544C965F" w:rsidR="002B65EC" w:rsidRPr="002B65EC" w:rsidRDefault="00760BC4">
            <w:pPr>
              <w:pStyle w:val="TableParagraph"/>
              <w:jc w:val="center"/>
              <w:rPr>
                <w:rFonts w:ascii="Arial Narrow" w:hAnsi="Arial Narrow" w:cs="Arial"/>
                <w:sz w:val="18"/>
                <w:szCs w:val="20"/>
              </w:rPr>
            </w:pPr>
            <w:r>
              <w:rPr>
                <w:rFonts w:ascii="Arial Narrow" w:hAnsi="Arial Narrow" w:cs="Arial"/>
                <w:sz w:val="18"/>
                <w:szCs w:val="20"/>
              </w:rPr>
              <w:t>R$ 1.037,50</w:t>
            </w:r>
          </w:p>
        </w:tc>
        <w:tc>
          <w:tcPr>
            <w:tcW w:w="1702" w:type="dxa"/>
            <w:tcBorders>
              <w:top w:val="single" w:sz="4" w:space="0" w:color="000000"/>
              <w:left w:val="single" w:sz="4" w:space="0" w:color="000000"/>
              <w:bottom w:val="single" w:sz="4" w:space="0" w:color="000000"/>
              <w:right w:val="single" w:sz="4" w:space="0" w:color="000000"/>
            </w:tcBorders>
            <w:vAlign w:val="center"/>
          </w:tcPr>
          <w:p w14:paraId="5CC1EBE8" w14:textId="249F0CDA" w:rsidR="002B65EC" w:rsidRPr="002B65EC" w:rsidRDefault="00760BC4">
            <w:pPr>
              <w:pStyle w:val="TableParagraph"/>
              <w:jc w:val="center"/>
              <w:rPr>
                <w:rFonts w:ascii="Arial Narrow" w:hAnsi="Arial Narrow" w:cs="Arial"/>
                <w:sz w:val="18"/>
                <w:szCs w:val="20"/>
              </w:rPr>
            </w:pPr>
            <w:r>
              <w:rPr>
                <w:rFonts w:ascii="Arial Narrow" w:hAnsi="Arial Narrow" w:cs="Arial"/>
                <w:sz w:val="18"/>
                <w:szCs w:val="20"/>
              </w:rPr>
              <w:t xml:space="preserve">R$ </w:t>
            </w:r>
            <w:r w:rsidRPr="00760BC4">
              <w:rPr>
                <w:rFonts w:ascii="Arial Narrow" w:hAnsi="Arial Narrow" w:cs="Arial"/>
                <w:sz w:val="18"/>
                <w:szCs w:val="20"/>
              </w:rPr>
              <w:t>51.875,00</w:t>
            </w:r>
          </w:p>
        </w:tc>
      </w:tr>
      <w:tr w:rsidR="002B65EC" w:rsidRPr="002B65EC" w14:paraId="68659B87" w14:textId="77777777" w:rsidTr="00760BC4">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62B1A77D" w14:textId="77777777" w:rsidR="002B65EC" w:rsidRPr="002B65EC" w:rsidRDefault="002B65EC">
            <w:pPr>
              <w:pStyle w:val="TableParagraph"/>
              <w:ind w:right="230"/>
              <w:jc w:val="right"/>
              <w:rPr>
                <w:rFonts w:ascii="Arial Narrow" w:hAnsi="Arial Narrow" w:cs="Arial"/>
                <w:b/>
                <w:bCs/>
                <w:sz w:val="18"/>
                <w:szCs w:val="20"/>
              </w:rPr>
            </w:pPr>
            <w:r w:rsidRPr="002B65EC">
              <w:rPr>
                <w:rFonts w:ascii="Arial Narrow" w:hAnsi="Arial Narrow" w:cs="Arial"/>
                <w:b/>
                <w:bCs/>
                <w:sz w:val="18"/>
                <w:szCs w:val="20"/>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54735A8C" w14:textId="0E884EE7" w:rsidR="002B65EC" w:rsidRPr="00760BC4" w:rsidRDefault="00760BC4">
            <w:pPr>
              <w:pStyle w:val="TableParagraph"/>
              <w:jc w:val="center"/>
              <w:rPr>
                <w:rFonts w:ascii="Arial Narrow" w:hAnsi="Arial Narrow" w:cs="Arial"/>
                <w:b/>
                <w:bCs/>
                <w:sz w:val="20"/>
                <w:szCs w:val="20"/>
              </w:rPr>
            </w:pPr>
            <w:r w:rsidRPr="00760BC4">
              <w:rPr>
                <w:rFonts w:ascii="Arial Narrow" w:hAnsi="Arial Narrow" w:cs="Arial"/>
                <w:b/>
                <w:bCs/>
                <w:sz w:val="20"/>
                <w:szCs w:val="20"/>
              </w:rPr>
              <w:t xml:space="preserve">R$ </w:t>
            </w:r>
            <w:r w:rsidRPr="00760BC4">
              <w:rPr>
                <w:rFonts w:ascii="Arial Narrow" w:hAnsi="Arial Narrow" w:cs="Arial"/>
                <w:b/>
                <w:bCs/>
                <w:sz w:val="20"/>
                <w:szCs w:val="20"/>
              </w:rPr>
              <w:t>51.875,00</w:t>
            </w:r>
          </w:p>
        </w:tc>
      </w:tr>
      <w:bookmarkEnd w:id="0"/>
    </w:tbl>
    <w:p w14:paraId="1D0C6EC0" w14:textId="77777777" w:rsidR="002B65EC" w:rsidRDefault="002B65EC" w:rsidP="002B65EC">
      <w:pPr>
        <w:pStyle w:val="Corpodetexto"/>
        <w:ind w:left="502" w:right="120"/>
        <w:jc w:val="both"/>
        <w:rPr>
          <w:rFonts w:ascii="Arial Narrow" w:eastAsia="Arial MT" w:hAnsi="Arial Narrow" w:cs="Arial MT"/>
          <w:b/>
          <w:bCs/>
          <w:lang w:val="pt-PT" w:eastAsia="en-US"/>
        </w:rPr>
      </w:pPr>
    </w:p>
    <w:p w14:paraId="01017406"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2FCCCD77" w14:textId="77777777" w:rsidR="002B65EC" w:rsidRDefault="002B65EC" w:rsidP="002B65EC">
      <w:pPr>
        <w:pStyle w:val="Corpodetexto"/>
        <w:ind w:left="360" w:right="120"/>
        <w:jc w:val="both"/>
        <w:rPr>
          <w:rFonts w:ascii="Arial Narrow" w:hAnsi="Arial Narrow"/>
          <w:b/>
          <w:bCs/>
        </w:rPr>
      </w:pPr>
    </w:p>
    <w:p w14:paraId="5EF32C6A" w14:textId="77777777" w:rsidR="002B65EC" w:rsidRDefault="002B65EC" w:rsidP="002B65EC">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CONDIÇÕES DE PAGAMENTO</w:t>
      </w:r>
    </w:p>
    <w:p w14:paraId="31FBD036" w14:textId="77777777" w:rsidR="002B65EC" w:rsidRDefault="002B65EC" w:rsidP="002B65EC">
      <w:pPr>
        <w:pStyle w:val="Corpodetexto"/>
        <w:ind w:left="502" w:right="120"/>
        <w:jc w:val="both"/>
        <w:rPr>
          <w:rFonts w:ascii="Arial Narrow" w:hAnsi="Arial Narrow"/>
          <w:b/>
          <w:bCs/>
        </w:rPr>
      </w:pPr>
    </w:p>
    <w:p w14:paraId="246F86C7" w14:textId="4F8F041F"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 xml:space="preserve">O pagamento será efetuado, pelo Departamento Financeiro da </w:t>
      </w:r>
      <w:r>
        <w:rPr>
          <w:rFonts w:ascii="Arial Narrow" w:hAnsi="Arial Narrow" w:cs="Arial"/>
        </w:rPr>
        <w:t>Prefeitura Municipal</w:t>
      </w:r>
      <w:r>
        <w:rPr>
          <w:rFonts w:ascii="Arial Narrow" w:hAnsi="Arial Narrow" w:cs="Arial"/>
        </w:rPr>
        <w:t xml:space="preserve"> de Água Doce/ em até 30 dias após o recebimento da nota fiscal, devidamente conferida pelo </w:t>
      </w:r>
      <w:r>
        <w:rPr>
          <w:rFonts w:ascii="Arial Narrow" w:hAnsi="Arial Narrow" w:cs="Arial"/>
        </w:rPr>
        <w:t>órgão requisitante</w:t>
      </w:r>
      <w:r>
        <w:rPr>
          <w:rFonts w:ascii="Arial Narrow" w:hAnsi="Arial Narrow" w:cs="Arial"/>
        </w:rPr>
        <w:t>.</w:t>
      </w:r>
    </w:p>
    <w:p w14:paraId="65924DFE" w14:textId="77777777" w:rsidR="002B65EC" w:rsidRDefault="002B65EC" w:rsidP="002B65EC">
      <w:pPr>
        <w:pStyle w:val="Corpodetexto"/>
        <w:ind w:left="567" w:right="120" w:hanging="425"/>
        <w:jc w:val="both"/>
        <w:rPr>
          <w:rFonts w:ascii="Arial Narrow" w:hAnsi="Arial Narrow"/>
          <w:b/>
          <w:bCs/>
        </w:rPr>
      </w:pPr>
    </w:p>
    <w:p w14:paraId="38C6F0FA"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43176948" w14:textId="77777777" w:rsidR="002B65EC" w:rsidRDefault="002B65EC" w:rsidP="002B65EC">
      <w:pPr>
        <w:pStyle w:val="Corpodetexto"/>
        <w:ind w:left="567" w:right="120" w:hanging="425"/>
        <w:jc w:val="both"/>
        <w:rPr>
          <w:rFonts w:ascii="Arial Narrow" w:hAnsi="Arial Narrow"/>
          <w:b/>
          <w:bCs/>
        </w:rPr>
      </w:pPr>
    </w:p>
    <w:p w14:paraId="742ECD6A"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428B48AE" w14:textId="77777777" w:rsidR="002B65EC" w:rsidRDefault="002B65EC" w:rsidP="002B65EC">
      <w:pPr>
        <w:pStyle w:val="PargrafodaLista"/>
        <w:ind w:left="567" w:hanging="425"/>
        <w:rPr>
          <w:rFonts w:ascii="Arial Narrow" w:hAnsi="Arial Narrow" w:cs="Arial"/>
        </w:rPr>
      </w:pPr>
    </w:p>
    <w:p w14:paraId="747007B6" w14:textId="07A26949"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 xml:space="preserve">Caso não seja mencionado na Nota Fiscal os dados bancários da empresa, a empresa deverá apresentar carta de correção informando os dados </w:t>
      </w:r>
      <w:r>
        <w:rPr>
          <w:rFonts w:ascii="Arial Narrow" w:hAnsi="Arial Narrow" w:cs="Arial"/>
        </w:rPr>
        <w:t>ausentes</w:t>
      </w:r>
      <w:r>
        <w:rPr>
          <w:rFonts w:ascii="Arial Narrow" w:hAnsi="Arial Narrow" w:cs="Arial"/>
        </w:rPr>
        <w:t>.</w:t>
      </w:r>
    </w:p>
    <w:p w14:paraId="08E4BC6B" w14:textId="77777777" w:rsidR="002B65EC" w:rsidRDefault="002B65EC" w:rsidP="002B65EC">
      <w:pPr>
        <w:pStyle w:val="PargrafodaLista"/>
        <w:ind w:left="567" w:hanging="425"/>
        <w:rPr>
          <w:rFonts w:ascii="Arial Narrow" w:hAnsi="Arial Narrow" w:cs="Arial"/>
        </w:rPr>
      </w:pPr>
    </w:p>
    <w:p w14:paraId="4A1D0C8B"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577708C3" w14:textId="77777777" w:rsidR="002B65EC" w:rsidRDefault="002B65EC" w:rsidP="002B65EC">
      <w:pPr>
        <w:pStyle w:val="PargrafodaLista"/>
        <w:ind w:left="567" w:hanging="425"/>
        <w:rPr>
          <w:rFonts w:ascii="Arial Narrow" w:hAnsi="Arial Narrow" w:cs="Arial"/>
        </w:rPr>
      </w:pPr>
    </w:p>
    <w:p w14:paraId="0C97F9A2"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p>
    <w:p w14:paraId="3D5078B2" w14:textId="77777777" w:rsidR="002B65EC" w:rsidRDefault="002B65EC" w:rsidP="002B65EC">
      <w:pPr>
        <w:ind w:left="567" w:right="110"/>
        <w:rPr>
          <w:rFonts w:ascii="Arial Narrow" w:hAnsi="Arial Narrow" w:cs="Arial"/>
        </w:rPr>
      </w:pPr>
      <w:r>
        <w:rPr>
          <w:rFonts w:ascii="Arial Narrow" w:hAnsi="Arial Narrow" w:cs="Arial"/>
        </w:rPr>
        <w:t xml:space="preserve">PREFEITURA MUNICIPAL DE ÁGUA DOCE, Praça João </w:t>
      </w:r>
      <w:proofErr w:type="spellStart"/>
      <w:r>
        <w:rPr>
          <w:rFonts w:ascii="Arial Narrow" w:hAnsi="Arial Narrow" w:cs="Arial"/>
        </w:rPr>
        <w:t>Macagnan</w:t>
      </w:r>
      <w:proofErr w:type="spellEnd"/>
      <w:r>
        <w:rPr>
          <w:rFonts w:ascii="Arial Narrow" w:hAnsi="Arial Narrow" w:cs="Arial"/>
        </w:rPr>
        <w:t>, 322, centro, Água Doce (SC), 89.654-000, CNPJ nº 82.939.398/0001-90</w:t>
      </w:r>
    </w:p>
    <w:p w14:paraId="53330B05" w14:textId="77777777" w:rsidR="002B65EC" w:rsidRDefault="002B65EC" w:rsidP="002B65EC">
      <w:pPr>
        <w:tabs>
          <w:tab w:val="left" w:pos="966"/>
        </w:tabs>
        <w:ind w:left="567" w:right="110" w:hanging="425"/>
        <w:jc w:val="both"/>
        <w:rPr>
          <w:rFonts w:ascii="Arial Narrow" w:hAnsi="Arial Narrow" w:cs="Arial"/>
        </w:rPr>
      </w:pPr>
    </w:p>
    <w:p w14:paraId="683AAE28"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2E383197" w14:textId="77777777" w:rsidR="002B65EC" w:rsidRDefault="002B65EC" w:rsidP="002B65EC">
      <w:pPr>
        <w:pStyle w:val="Corpodetexto"/>
        <w:ind w:left="567" w:right="120" w:hanging="425"/>
        <w:jc w:val="both"/>
        <w:rPr>
          <w:rFonts w:ascii="Arial Narrow" w:hAnsi="Arial Narrow"/>
          <w:b/>
          <w:bCs/>
        </w:rPr>
      </w:pPr>
    </w:p>
    <w:p w14:paraId="3CD32767"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0B9B6114" w14:textId="77777777" w:rsidR="002B65EC" w:rsidRDefault="002B65EC" w:rsidP="002B65EC">
      <w:pPr>
        <w:pStyle w:val="PargrafodaLista"/>
        <w:ind w:left="567" w:hanging="425"/>
        <w:rPr>
          <w:rFonts w:ascii="Arial Narrow" w:hAnsi="Arial Narrow" w:cs="Arial"/>
        </w:rPr>
      </w:pPr>
    </w:p>
    <w:p w14:paraId="62E7FAC1"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O encaminhamento das notas fiscais deverá ser direcionado a secretaria solicitante, através do e-mail informado na Solicitação de Fornecimento, para conferência, com cópia para o Departamento de Compras, Licitações, Convênios e Contratos, através do e-mail: nfe@aguadoce.sc.gov.br.</w:t>
      </w:r>
    </w:p>
    <w:p w14:paraId="788BAAAE" w14:textId="77777777" w:rsidR="002B65EC" w:rsidRDefault="002B65EC" w:rsidP="002B65EC">
      <w:pPr>
        <w:pStyle w:val="PargrafodaLista"/>
        <w:ind w:left="567" w:hanging="425"/>
        <w:rPr>
          <w:rFonts w:ascii="Arial Narrow" w:hAnsi="Arial Narrow" w:cs="Arial"/>
        </w:rPr>
      </w:pPr>
    </w:p>
    <w:p w14:paraId="211FDCFC"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5E6D681E" w14:textId="77777777" w:rsidR="002B65EC" w:rsidRDefault="002B65EC" w:rsidP="002B65EC">
      <w:pPr>
        <w:pStyle w:val="PargrafodaLista"/>
        <w:ind w:left="567" w:hanging="425"/>
        <w:rPr>
          <w:rFonts w:ascii="Arial Narrow" w:hAnsi="Arial Narrow" w:cs="Arial"/>
        </w:rPr>
      </w:pPr>
    </w:p>
    <w:p w14:paraId="2640260F"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0600DB27" w14:textId="77777777" w:rsidR="002B65EC" w:rsidRDefault="002B65EC" w:rsidP="002B65EC">
      <w:pPr>
        <w:pStyle w:val="PargrafodaLista"/>
        <w:ind w:left="567" w:hanging="425"/>
        <w:rPr>
          <w:rFonts w:ascii="Arial Narrow" w:hAnsi="Arial Narrow" w:cs="Arial"/>
        </w:rPr>
      </w:pPr>
    </w:p>
    <w:p w14:paraId="69E42881"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70F2C5AF" w14:textId="77777777" w:rsidR="002B65EC" w:rsidRDefault="002B65EC" w:rsidP="002B65EC">
      <w:pPr>
        <w:pStyle w:val="PargrafodaLista"/>
        <w:rPr>
          <w:rFonts w:ascii="Arial Narrow" w:hAnsi="Arial Narrow"/>
          <w:b/>
          <w:bCs/>
        </w:rPr>
      </w:pPr>
    </w:p>
    <w:p w14:paraId="2C96CF33"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30979E7C" w14:textId="77777777" w:rsidR="002B65EC" w:rsidRDefault="002B65EC" w:rsidP="002B65EC">
      <w:pPr>
        <w:pStyle w:val="PargrafodaLista"/>
        <w:rPr>
          <w:rFonts w:ascii="Arial Narrow" w:hAnsi="Arial Narrow"/>
          <w:b/>
          <w:bCs/>
        </w:rPr>
      </w:pPr>
    </w:p>
    <w:p w14:paraId="43A7D569" w14:textId="77777777" w:rsidR="002B65EC" w:rsidRDefault="002B65EC" w:rsidP="002B65EC">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REAJUSTAMENTO, REPACTUAÇÃO, REVISÃO, SUPRESSÕES E ACRÉSCIMOS</w:t>
      </w:r>
    </w:p>
    <w:p w14:paraId="18B2F93C" w14:textId="77777777" w:rsidR="002B65EC" w:rsidRDefault="002B65EC" w:rsidP="002B65EC">
      <w:pPr>
        <w:pStyle w:val="Corpodetexto"/>
        <w:ind w:left="502" w:right="120"/>
        <w:jc w:val="both"/>
        <w:rPr>
          <w:rFonts w:ascii="Arial Narrow" w:hAnsi="Arial Narrow"/>
          <w:b/>
          <w:bCs/>
        </w:rPr>
      </w:pPr>
    </w:p>
    <w:p w14:paraId="25102F57"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78F4ED73" w14:textId="77777777" w:rsidR="002B65EC" w:rsidRDefault="002B65EC" w:rsidP="002B65EC">
      <w:pPr>
        <w:pStyle w:val="Corpodetexto"/>
        <w:ind w:right="120"/>
        <w:jc w:val="both"/>
        <w:rPr>
          <w:rFonts w:ascii="Arial Narrow" w:hAnsi="Arial Narrow"/>
          <w:b/>
          <w:bCs/>
        </w:rPr>
      </w:pPr>
    </w:p>
    <w:p w14:paraId="6746549A"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102893A8" w14:textId="77777777" w:rsidR="002B65EC" w:rsidRDefault="002B65EC" w:rsidP="002B65EC">
      <w:pPr>
        <w:pStyle w:val="Corpodetexto"/>
        <w:ind w:left="502" w:right="120"/>
        <w:jc w:val="both"/>
        <w:rPr>
          <w:rFonts w:ascii="Arial Narrow" w:hAnsi="Arial Narrow"/>
          <w:b/>
          <w:bCs/>
        </w:rPr>
      </w:pPr>
    </w:p>
    <w:p w14:paraId="7FB5433C"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 pedido de revisão de preços será processado e julgado pelo Órgão Gerenciador.</w:t>
      </w:r>
    </w:p>
    <w:p w14:paraId="67E13F45" w14:textId="77777777" w:rsidR="002B65EC" w:rsidRDefault="002B65EC" w:rsidP="002B65EC">
      <w:pPr>
        <w:pStyle w:val="Corpodetexto"/>
        <w:ind w:right="120"/>
        <w:jc w:val="both"/>
        <w:rPr>
          <w:rFonts w:ascii="Arial Narrow" w:hAnsi="Arial Narrow"/>
          <w:b/>
          <w:bCs/>
        </w:rPr>
      </w:pPr>
    </w:p>
    <w:p w14:paraId="47451840" w14:textId="77777777" w:rsidR="002B65EC" w:rsidRDefault="002B65EC" w:rsidP="002B65EC">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 DESPESA</w:t>
      </w:r>
    </w:p>
    <w:p w14:paraId="40C03574" w14:textId="77777777" w:rsidR="002B65EC" w:rsidRDefault="002B65EC" w:rsidP="002B65EC">
      <w:pPr>
        <w:pStyle w:val="Corpodetexto"/>
        <w:ind w:right="120"/>
        <w:jc w:val="both"/>
        <w:rPr>
          <w:rFonts w:ascii="Arial Narrow" w:hAnsi="Arial Narrow"/>
          <w:b/>
          <w:bCs/>
        </w:rPr>
      </w:pPr>
    </w:p>
    <w:p w14:paraId="28CF73B1"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39960AE4" w14:textId="77777777" w:rsidR="002B65EC" w:rsidRDefault="002B65EC" w:rsidP="002B65EC">
      <w:pPr>
        <w:pStyle w:val="Corpodetexto"/>
        <w:ind w:left="360" w:right="120"/>
        <w:jc w:val="both"/>
        <w:rPr>
          <w:rFonts w:ascii="Arial Narrow" w:hAnsi="Arial Narrow"/>
          <w:b/>
          <w:bCs/>
        </w:rPr>
      </w:pPr>
    </w:p>
    <w:p w14:paraId="4C2CB281" w14:textId="77777777" w:rsidR="002B65EC" w:rsidRDefault="002B65EC" w:rsidP="002B65EC">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RECEBIMENTO DO OBJETO E DA FISCALIZAÇÃO</w:t>
      </w:r>
    </w:p>
    <w:p w14:paraId="69C8EB5B" w14:textId="77777777" w:rsidR="002B65EC" w:rsidRDefault="002B65EC" w:rsidP="002B65EC">
      <w:pPr>
        <w:pStyle w:val="Corpodetexto"/>
        <w:ind w:left="502" w:right="120"/>
        <w:jc w:val="both"/>
        <w:rPr>
          <w:rFonts w:ascii="Arial Narrow" w:hAnsi="Arial Narrow"/>
          <w:b/>
          <w:bCs/>
        </w:rPr>
      </w:pPr>
    </w:p>
    <w:p w14:paraId="5BFA02DC" w14:textId="2F5B6EF6"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O </w:t>
      </w:r>
      <w:r>
        <w:rPr>
          <w:rFonts w:ascii="Arial Narrow" w:hAnsi="Arial Narrow" w:cs="Arial"/>
        </w:rPr>
        <w:t>Órgão</w:t>
      </w:r>
      <w:r>
        <w:rPr>
          <w:rFonts w:ascii="Arial Narrow" w:hAnsi="Arial Narrow" w:cs="Arial"/>
        </w:rPr>
        <w:t xml:space="preserve"> Gerenciador, através da servidora </w:t>
      </w:r>
      <w:r>
        <w:rPr>
          <w:rFonts w:ascii="Arial Narrow" w:hAnsi="Arial Narrow" w:cs="Arial"/>
          <w:b/>
        </w:rPr>
        <w:t>Rosane Correia Pereira</w:t>
      </w:r>
      <w:r>
        <w:rPr>
          <w:rFonts w:ascii="Arial Narrow" w:hAnsi="Arial Narrow" w:cs="Arial"/>
        </w:rPr>
        <w:t>, que acompanhará e fiscalizará a entrega, anotando em registro próprio todas as ocorrências relacionadas com a execução e determinando o que for necessário à regularização de falhas ou defeitos observados.</w:t>
      </w:r>
    </w:p>
    <w:p w14:paraId="214C94FB" w14:textId="77777777" w:rsidR="002B65EC" w:rsidRDefault="002B65EC" w:rsidP="002B65EC">
      <w:pPr>
        <w:pStyle w:val="Corpodetexto"/>
        <w:ind w:left="502" w:right="120"/>
        <w:jc w:val="both"/>
        <w:rPr>
          <w:rFonts w:ascii="Arial Narrow" w:hAnsi="Arial Narrow"/>
          <w:b/>
          <w:bCs/>
        </w:rPr>
      </w:pPr>
    </w:p>
    <w:p w14:paraId="11FC199C"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0F6F2089" w14:textId="77777777" w:rsidR="002B65EC" w:rsidRDefault="002B65EC" w:rsidP="002B65EC">
      <w:pPr>
        <w:pStyle w:val="PargrafodaLista"/>
        <w:rPr>
          <w:rFonts w:ascii="Arial Narrow" w:hAnsi="Arial Narrow"/>
          <w:b/>
          <w:bCs/>
        </w:rPr>
      </w:pPr>
    </w:p>
    <w:p w14:paraId="353FD75A"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D355848" w14:textId="77777777" w:rsidR="002B65EC" w:rsidRDefault="002B65EC" w:rsidP="002B65EC">
      <w:pPr>
        <w:pStyle w:val="PargrafodaLista"/>
        <w:rPr>
          <w:rFonts w:ascii="Arial Narrow" w:hAnsi="Arial Narrow"/>
          <w:b/>
          <w:bCs/>
        </w:rPr>
      </w:pPr>
    </w:p>
    <w:p w14:paraId="3288B206"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lastRenderedPageBreak/>
        <w:t xml:space="preserve">A Gestão desta Ata de Registro de Preços será realizada pela Coordenadora de Convênios e Contratos do Município de Água Doce, a servidora </w:t>
      </w:r>
      <w:proofErr w:type="spellStart"/>
      <w:r>
        <w:rPr>
          <w:rFonts w:ascii="Arial Narrow" w:hAnsi="Arial Narrow" w:cs="Arial"/>
          <w:b/>
        </w:rPr>
        <w:t>Evarista</w:t>
      </w:r>
      <w:proofErr w:type="spellEnd"/>
      <w:r>
        <w:rPr>
          <w:rFonts w:ascii="Arial Narrow" w:hAnsi="Arial Narrow" w:cs="Arial"/>
          <w:b/>
        </w:rPr>
        <w:t xml:space="preserve"> Bernadete Trento</w:t>
      </w:r>
      <w:r>
        <w:rPr>
          <w:rFonts w:ascii="Arial Narrow" w:hAnsi="Arial Narrow" w:cs="Arial"/>
        </w:rPr>
        <w:t>.</w:t>
      </w:r>
    </w:p>
    <w:p w14:paraId="4122715D" w14:textId="77777777" w:rsidR="002B65EC" w:rsidRDefault="002B65EC" w:rsidP="002B65EC">
      <w:pPr>
        <w:pStyle w:val="PargrafodaLista"/>
        <w:rPr>
          <w:rFonts w:ascii="Arial Narrow" w:hAnsi="Arial Narrow"/>
          <w:b/>
          <w:bCs/>
        </w:rPr>
      </w:pPr>
    </w:p>
    <w:p w14:paraId="6163C6D0"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4BCF0516" w14:textId="77777777" w:rsidR="002B65EC" w:rsidRDefault="002B65EC" w:rsidP="002B65EC">
      <w:pPr>
        <w:pStyle w:val="PargrafodaLista"/>
        <w:rPr>
          <w:rFonts w:ascii="Arial Narrow" w:hAnsi="Arial Narrow"/>
          <w:b/>
          <w:bCs/>
        </w:rPr>
      </w:pPr>
    </w:p>
    <w:p w14:paraId="6002E991" w14:textId="77777777" w:rsidR="002B65EC" w:rsidRDefault="002B65EC" w:rsidP="002B65EC">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6AC751F0" w14:textId="77777777" w:rsidR="002B65EC" w:rsidRDefault="002B65EC" w:rsidP="002B65EC">
      <w:pPr>
        <w:pStyle w:val="Corpodetexto"/>
        <w:ind w:left="1004" w:right="120"/>
        <w:jc w:val="both"/>
        <w:rPr>
          <w:rFonts w:ascii="Arial Narrow" w:hAnsi="Arial Narrow"/>
          <w:b/>
          <w:bCs/>
        </w:rPr>
      </w:pPr>
    </w:p>
    <w:p w14:paraId="7B9F6476"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2CDE01DF" w14:textId="77777777" w:rsidR="002B65EC" w:rsidRDefault="002B65EC" w:rsidP="002B65EC">
      <w:pPr>
        <w:pStyle w:val="Corpodetexto"/>
        <w:ind w:left="1004" w:right="120"/>
        <w:jc w:val="both"/>
        <w:rPr>
          <w:rFonts w:ascii="Arial Narrow" w:hAnsi="Arial Narrow"/>
          <w:b/>
          <w:bCs/>
        </w:rPr>
      </w:pPr>
    </w:p>
    <w:p w14:paraId="5BFA9D5B" w14:textId="77777777" w:rsidR="002B65EC" w:rsidRDefault="002B65EC" w:rsidP="002B65EC">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OBRIGAÇÕES DA DETENTORA E DO ORGÃO GERENCIADOR</w:t>
      </w:r>
    </w:p>
    <w:p w14:paraId="387381A1" w14:textId="77777777" w:rsidR="002B65EC" w:rsidRDefault="002B65EC" w:rsidP="002B65EC">
      <w:pPr>
        <w:pStyle w:val="Corpodetexto"/>
        <w:ind w:left="502" w:right="120"/>
        <w:jc w:val="both"/>
        <w:rPr>
          <w:rFonts w:ascii="Arial Narrow" w:hAnsi="Arial Narrow"/>
          <w:b/>
          <w:bCs/>
        </w:rPr>
      </w:pPr>
    </w:p>
    <w:p w14:paraId="4240C199"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494FE8B1" w14:textId="77777777" w:rsidR="002B65EC" w:rsidRDefault="002B65EC" w:rsidP="002B65EC">
      <w:pPr>
        <w:pStyle w:val="Corpodetexto"/>
        <w:ind w:left="1004" w:right="120"/>
        <w:jc w:val="both"/>
        <w:rPr>
          <w:rFonts w:ascii="Arial Narrow" w:hAnsi="Arial Narrow"/>
          <w:b/>
          <w:bCs/>
        </w:rPr>
      </w:pPr>
    </w:p>
    <w:p w14:paraId="199EAD8A"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7774356F" w14:textId="77777777" w:rsidR="002B65EC" w:rsidRDefault="002B65EC" w:rsidP="002B65EC">
      <w:pPr>
        <w:pStyle w:val="Corpodetexto"/>
        <w:ind w:left="1004" w:right="120"/>
        <w:jc w:val="both"/>
        <w:rPr>
          <w:rFonts w:ascii="Arial Narrow" w:hAnsi="Arial Narrow"/>
          <w:b/>
          <w:bCs/>
        </w:rPr>
      </w:pPr>
    </w:p>
    <w:p w14:paraId="4032ED44"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7CC532F9" w14:textId="77777777" w:rsidR="002B65EC" w:rsidRDefault="002B65EC" w:rsidP="002B65EC">
      <w:pPr>
        <w:pStyle w:val="Corpodetexto"/>
        <w:ind w:right="120"/>
        <w:jc w:val="both"/>
        <w:rPr>
          <w:rFonts w:ascii="Arial Narrow" w:hAnsi="Arial Narrow"/>
          <w:b/>
          <w:bCs/>
        </w:rPr>
      </w:pPr>
    </w:p>
    <w:p w14:paraId="34418287"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5039497D" w14:textId="77777777" w:rsidR="002B65EC" w:rsidRDefault="002B65EC" w:rsidP="002B65EC">
      <w:pPr>
        <w:pStyle w:val="PargrafodaLista"/>
        <w:rPr>
          <w:rFonts w:ascii="Arial Narrow" w:hAnsi="Arial Narrow" w:cs="Arial"/>
        </w:rPr>
      </w:pPr>
    </w:p>
    <w:p w14:paraId="40C50F16"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danos causados diretamente à Administração Pública ou a terceiros em razão da execução da ata de registro de preço;</w:t>
      </w:r>
    </w:p>
    <w:p w14:paraId="62E08E31" w14:textId="77777777" w:rsidR="002B65EC" w:rsidRDefault="002B65EC" w:rsidP="002B65EC">
      <w:pPr>
        <w:rPr>
          <w:rFonts w:ascii="Arial Narrow" w:hAnsi="Arial Narrow"/>
          <w:b/>
          <w:bCs/>
        </w:rPr>
      </w:pPr>
    </w:p>
    <w:p w14:paraId="5BBBC76A"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4DDE10A3" w14:textId="77777777" w:rsidR="002B65EC" w:rsidRDefault="002B65EC" w:rsidP="002B65EC">
      <w:pPr>
        <w:pStyle w:val="PargrafodaLista"/>
        <w:rPr>
          <w:rFonts w:ascii="Arial Narrow" w:hAnsi="Arial Narrow"/>
          <w:b/>
          <w:bCs/>
        </w:rPr>
      </w:pPr>
    </w:p>
    <w:p w14:paraId="5B3122F7"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07175133" w14:textId="77777777" w:rsidR="002B65EC" w:rsidRDefault="002B65EC" w:rsidP="002B65EC">
      <w:pPr>
        <w:pStyle w:val="PargrafodaLista"/>
        <w:rPr>
          <w:rFonts w:ascii="Arial Narrow" w:hAnsi="Arial Narrow"/>
          <w:b/>
          <w:bCs/>
        </w:rPr>
      </w:pPr>
    </w:p>
    <w:p w14:paraId="2492C17C"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2D156F1D" w14:textId="77777777" w:rsidR="002B65EC" w:rsidRDefault="002B65EC" w:rsidP="002B65EC">
      <w:pPr>
        <w:pStyle w:val="PargrafodaLista"/>
        <w:rPr>
          <w:rFonts w:ascii="Arial Narrow" w:hAnsi="Arial Narrow"/>
          <w:b/>
          <w:bCs/>
        </w:rPr>
      </w:pPr>
    </w:p>
    <w:p w14:paraId="2A5486CD" w14:textId="28D30752" w:rsidR="002B65EC" w:rsidRDefault="002B65EC" w:rsidP="002B65EC">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 xml:space="preserve">Manter, durante toda a execução da ata de registro de preços, em compatibilidade com as obrigações assumidas, todas </w:t>
      </w:r>
      <w:r>
        <w:rPr>
          <w:rFonts w:ascii="Arial Narrow" w:hAnsi="Arial Narrow" w:cs="Arial"/>
        </w:rPr>
        <w:t>as condições</w:t>
      </w:r>
      <w:r>
        <w:rPr>
          <w:rFonts w:ascii="Arial Narrow" w:hAnsi="Arial Narrow" w:cs="Arial"/>
        </w:rPr>
        <w:t xml:space="preserve"> de habilitação e qualificação exigidas na licitação;</w:t>
      </w:r>
    </w:p>
    <w:p w14:paraId="07C42318" w14:textId="77777777" w:rsidR="002B65EC" w:rsidRDefault="002B65EC" w:rsidP="002B65EC">
      <w:pPr>
        <w:pStyle w:val="PargrafodaLista"/>
        <w:rPr>
          <w:rFonts w:ascii="Arial Narrow" w:hAnsi="Arial Narrow" w:cs="Arial"/>
        </w:rPr>
      </w:pPr>
    </w:p>
    <w:p w14:paraId="0A83012D"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5ED0CA53" w14:textId="77777777" w:rsidR="002B65EC" w:rsidRDefault="002B65EC" w:rsidP="002B65EC">
      <w:pPr>
        <w:pStyle w:val="PargrafodaLista"/>
        <w:rPr>
          <w:rFonts w:ascii="Arial Narrow" w:hAnsi="Arial Narrow" w:cs="Arial"/>
        </w:rPr>
      </w:pPr>
    </w:p>
    <w:p w14:paraId="0AEECE16"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0664E61B" w14:textId="77777777" w:rsidR="002B65EC" w:rsidRDefault="002B65EC" w:rsidP="002B65EC">
      <w:pPr>
        <w:pStyle w:val="PargrafodaLista"/>
        <w:rPr>
          <w:rFonts w:ascii="Arial Narrow" w:hAnsi="Arial Narrow" w:cs="Arial"/>
        </w:rPr>
      </w:pPr>
    </w:p>
    <w:p w14:paraId="67DC518E"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0A3193D3" w14:textId="77777777" w:rsidR="002B65EC" w:rsidRDefault="002B65EC" w:rsidP="002B65EC">
      <w:pPr>
        <w:pStyle w:val="PargrafodaLista"/>
        <w:tabs>
          <w:tab w:val="left" w:pos="834"/>
        </w:tabs>
        <w:ind w:left="833" w:firstLine="0"/>
        <w:rPr>
          <w:rFonts w:ascii="Arial Narrow" w:hAnsi="Arial Narrow" w:cs="Arial"/>
        </w:rPr>
      </w:pPr>
    </w:p>
    <w:p w14:paraId="2B00B3F6"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5504A195" w14:textId="77777777" w:rsidR="002B65EC" w:rsidRDefault="002B65EC" w:rsidP="002B65EC">
      <w:pPr>
        <w:pStyle w:val="PargrafodaLista"/>
        <w:rPr>
          <w:rFonts w:ascii="Arial Narrow" w:hAnsi="Arial Narrow" w:cs="Arial"/>
        </w:rPr>
      </w:pPr>
    </w:p>
    <w:p w14:paraId="2DB7BA54"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7C740340" w14:textId="77777777" w:rsidR="002B65EC" w:rsidRDefault="002B65EC" w:rsidP="002B65EC">
      <w:pPr>
        <w:pStyle w:val="PargrafodaLista"/>
        <w:rPr>
          <w:rFonts w:ascii="Arial Narrow" w:hAnsi="Arial Narrow" w:cs="Arial"/>
        </w:rPr>
      </w:pPr>
    </w:p>
    <w:p w14:paraId="09ADAD2F"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66D98C29" w14:textId="77777777" w:rsidR="002B65EC" w:rsidRDefault="002B65EC" w:rsidP="002B65EC">
      <w:pPr>
        <w:pStyle w:val="PargrafodaLista"/>
        <w:rPr>
          <w:rFonts w:ascii="Arial Narrow" w:hAnsi="Arial Narrow" w:cs="Arial"/>
        </w:rPr>
      </w:pPr>
    </w:p>
    <w:p w14:paraId="42E2E18D"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Atender as diretrizes da LGPD (Lei Geral de Proteção de Dados);</w:t>
      </w:r>
    </w:p>
    <w:p w14:paraId="14F3C434" w14:textId="77777777" w:rsidR="002B65EC" w:rsidRDefault="002B65EC" w:rsidP="002B65EC">
      <w:pPr>
        <w:pStyle w:val="PargrafodaLista"/>
        <w:rPr>
          <w:rFonts w:ascii="Arial Narrow" w:hAnsi="Arial Narrow" w:cs="Arial"/>
        </w:rPr>
      </w:pPr>
    </w:p>
    <w:p w14:paraId="66BABA88"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2492E3BA" w14:textId="77777777" w:rsidR="002B65EC" w:rsidRDefault="002B65EC" w:rsidP="002B65EC">
      <w:pPr>
        <w:pStyle w:val="PargrafodaLista"/>
        <w:tabs>
          <w:tab w:val="left" w:pos="834"/>
        </w:tabs>
        <w:ind w:left="833" w:right="122" w:firstLine="0"/>
        <w:rPr>
          <w:rFonts w:ascii="Arial Narrow" w:hAnsi="Arial Narrow" w:cs="Arial"/>
        </w:rPr>
      </w:pPr>
    </w:p>
    <w:p w14:paraId="323714C3"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06244D8B" w14:textId="77777777" w:rsidR="002B65EC" w:rsidRDefault="002B65EC" w:rsidP="002B65EC">
      <w:pPr>
        <w:pStyle w:val="PargrafodaLista"/>
        <w:rPr>
          <w:rFonts w:ascii="Arial Narrow" w:hAnsi="Arial Narrow"/>
          <w:b/>
          <w:bCs/>
        </w:rPr>
      </w:pPr>
    </w:p>
    <w:p w14:paraId="39BF72A9"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009E9AD6" w14:textId="77777777" w:rsidR="002B65EC" w:rsidRDefault="002B65EC" w:rsidP="002B65EC">
      <w:pPr>
        <w:pStyle w:val="PargrafodaLista"/>
        <w:rPr>
          <w:rFonts w:ascii="Arial Narrow" w:hAnsi="Arial Narrow"/>
          <w:b/>
          <w:bCs/>
        </w:rPr>
      </w:pPr>
    </w:p>
    <w:p w14:paraId="5FA6A442" w14:textId="4100CBE9" w:rsidR="002B65EC" w:rsidRDefault="002B65EC" w:rsidP="002B65EC">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 xml:space="preserve">Atender os critérios dos </w:t>
      </w:r>
      <w:r>
        <w:rPr>
          <w:rFonts w:ascii="Arial Narrow" w:hAnsi="Arial Narrow"/>
        </w:rPr>
        <w:t>órgãos</w:t>
      </w:r>
      <w:r>
        <w:rPr>
          <w:rFonts w:ascii="Arial Narrow" w:hAnsi="Arial Narrow"/>
        </w:rPr>
        <w:t xml:space="preserve"> regulamentadores de produtos e serviços.</w:t>
      </w:r>
    </w:p>
    <w:p w14:paraId="16F871BD" w14:textId="77777777" w:rsidR="002B65EC" w:rsidRDefault="002B65EC" w:rsidP="002B65EC">
      <w:pPr>
        <w:pStyle w:val="PargrafodaLista"/>
        <w:rPr>
          <w:rFonts w:ascii="Arial Narrow" w:hAnsi="Arial Narrow"/>
          <w:b/>
          <w:bCs/>
        </w:rPr>
      </w:pPr>
    </w:p>
    <w:p w14:paraId="543024F8"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5607189B" w14:textId="77777777" w:rsidR="002B65EC" w:rsidRDefault="002B65EC" w:rsidP="002B65EC">
      <w:pPr>
        <w:pStyle w:val="Corpodetexto"/>
        <w:ind w:left="502" w:right="120"/>
        <w:jc w:val="both"/>
        <w:rPr>
          <w:rFonts w:ascii="Arial Narrow" w:hAnsi="Arial Narrow"/>
          <w:b/>
          <w:bCs/>
        </w:rPr>
      </w:pPr>
    </w:p>
    <w:p w14:paraId="6947DC54"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Receber o objeto no prazo e condições estabelecidas no Edital e seus anexos;</w:t>
      </w:r>
    </w:p>
    <w:p w14:paraId="04DC838C" w14:textId="77777777" w:rsidR="002B65EC" w:rsidRDefault="002B65EC" w:rsidP="002B65EC">
      <w:pPr>
        <w:pStyle w:val="Corpodetexto"/>
        <w:ind w:left="502" w:right="120"/>
        <w:jc w:val="both"/>
        <w:rPr>
          <w:rFonts w:ascii="Arial Narrow" w:hAnsi="Arial Narrow"/>
        </w:rPr>
      </w:pPr>
    </w:p>
    <w:p w14:paraId="1AAF3D18"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4FC79424" w14:textId="77777777" w:rsidR="002B65EC" w:rsidRDefault="002B65EC" w:rsidP="002B65EC">
      <w:pPr>
        <w:pStyle w:val="Corpodetexto"/>
        <w:ind w:left="502" w:right="120"/>
        <w:jc w:val="both"/>
        <w:rPr>
          <w:rFonts w:ascii="Arial Narrow" w:hAnsi="Arial Narrow"/>
        </w:rPr>
      </w:pPr>
    </w:p>
    <w:p w14:paraId="368AFB6D"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0CDC4FFB" w14:textId="77777777" w:rsidR="002B65EC" w:rsidRDefault="002B65EC" w:rsidP="002B65EC">
      <w:pPr>
        <w:pStyle w:val="Corpodetexto"/>
        <w:ind w:left="502" w:right="120"/>
        <w:jc w:val="both"/>
        <w:rPr>
          <w:rFonts w:ascii="Arial Narrow" w:hAnsi="Arial Narrow"/>
        </w:rPr>
      </w:pPr>
    </w:p>
    <w:p w14:paraId="7AF4F951"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230D8DEA" w14:textId="77777777" w:rsidR="002B65EC" w:rsidRDefault="002B65EC" w:rsidP="002B65EC">
      <w:pPr>
        <w:pStyle w:val="Corpodetexto"/>
        <w:ind w:left="502" w:right="120"/>
        <w:jc w:val="both"/>
        <w:rPr>
          <w:rFonts w:ascii="Arial Narrow" w:hAnsi="Arial Narrow"/>
        </w:rPr>
      </w:pPr>
    </w:p>
    <w:p w14:paraId="5A0A1CA7"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50FA19EB" w14:textId="77777777" w:rsidR="002B65EC" w:rsidRDefault="002B65EC" w:rsidP="002B65EC">
      <w:pPr>
        <w:pStyle w:val="Corpodetexto"/>
        <w:ind w:left="502" w:right="120"/>
        <w:jc w:val="both"/>
        <w:rPr>
          <w:rFonts w:ascii="Arial Narrow" w:hAnsi="Arial Narrow"/>
        </w:rPr>
      </w:pPr>
    </w:p>
    <w:p w14:paraId="25C131C0" w14:textId="27A856DE" w:rsidR="002B65EC" w:rsidRDefault="002B65EC" w:rsidP="002B65EC">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 xml:space="preserve">A Administração Pública não responderá por quaisquer compromissos assumidos pela detentora com terceiros, ainda que vinculados à execução do objeto licitado, bem como por qualquer dano causado a terceiros em decorrência de ato da detentora, de seus empregados, prepostos </w:t>
      </w:r>
      <w:r>
        <w:rPr>
          <w:rFonts w:ascii="Arial Narrow" w:hAnsi="Arial Narrow"/>
        </w:rPr>
        <w:t>ou subordinados</w:t>
      </w:r>
      <w:r>
        <w:rPr>
          <w:rFonts w:ascii="Arial Narrow" w:hAnsi="Arial Narrow"/>
        </w:rPr>
        <w:t>;</w:t>
      </w:r>
    </w:p>
    <w:p w14:paraId="7F9E635F" w14:textId="77777777" w:rsidR="002B65EC" w:rsidRDefault="002B65EC" w:rsidP="002B65EC">
      <w:pPr>
        <w:pStyle w:val="Corpodetexto"/>
        <w:ind w:left="502" w:right="120"/>
        <w:jc w:val="both"/>
        <w:rPr>
          <w:rFonts w:ascii="Arial Narrow" w:hAnsi="Arial Narrow"/>
        </w:rPr>
      </w:pPr>
    </w:p>
    <w:p w14:paraId="7A571E6E"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7B3769F4" w14:textId="77777777" w:rsidR="002B65EC" w:rsidRDefault="002B65EC" w:rsidP="002B65EC">
      <w:pPr>
        <w:pStyle w:val="PargrafodaLista"/>
        <w:rPr>
          <w:rFonts w:ascii="Arial Narrow" w:hAnsi="Arial Narrow"/>
        </w:rPr>
      </w:pPr>
    </w:p>
    <w:p w14:paraId="17E8A98F"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53BD866D" w14:textId="77777777" w:rsidR="002B65EC" w:rsidRDefault="002B65EC" w:rsidP="002B65EC">
      <w:pPr>
        <w:pStyle w:val="PargrafodaLista"/>
        <w:rPr>
          <w:rFonts w:ascii="Arial Narrow" w:hAnsi="Arial Narrow"/>
        </w:rPr>
      </w:pPr>
    </w:p>
    <w:p w14:paraId="28DAD545" w14:textId="77777777" w:rsidR="002B65EC" w:rsidRDefault="002B65EC" w:rsidP="002B65EC">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Emitir a Solicitação de Fornecimento à detentora, para que a mesma proceda a efetiva entrega do objeto.</w:t>
      </w:r>
    </w:p>
    <w:p w14:paraId="6E349174" w14:textId="77777777" w:rsidR="002B65EC" w:rsidRDefault="002B65EC" w:rsidP="002B65EC">
      <w:pPr>
        <w:pStyle w:val="PargrafodaLista"/>
        <w:rPr>
          <w:rFonts w:ascii="Arial Narrow" w:hAnsi="Arial Narrow"/>
        </w:rPr>
      </w:pPr>
    </w:p>
    <w:p w14:paraId="71BD03BA" w14:textId="77777777" w:rsidR="002B65EC" w:rsidRDefault="002B65EC" w:rsidP="002B65EC">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 CANCELAMENTO</w:t>
      </w:r>
    </w:p>
    <w:p w14:paraId="7B44E8AF" w14:textId="77777777" w:rsidR="002B65EC" w:rsidRDefault="002B65EC" w:rsidP="002B65EC">
      <w:pPr>
        <w:pStyle w:val="Corpodetexto"/>
        <w:ind w:left="360" w:right="120"/>
        <w:jc w:val="both"/>
        <w:rPr>
          <w:rFonts w:ascii="Arial Narrow" w:hAnsi="Arial Narrow"/>
          <w:b/>
          <w:bCs/>
        </w:rPr>
      </w:pPr>
    </w:p>
    <w:p w14:paraId="1D9F73FE"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lastRenderedPageBreak/>
        <w:t>A detentora terá seu Registro cancelado quando:</w:t>
      </w:r>
    </w:p>
    <w:p w14:paraId="093198D7" w14:textId="77777777" w:rsidR="002B65EC" w:rsidRDefault="002B65EC" w:rsidP="002B65EC">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Descumprir as condições desta Ata de Registro de Preços;</w:t>
      </w:r>
    </w:p>
    <w:p w14:paraId="4EC1211C" w14:textId="77777777" w:rsidR="002B65EC" w:rsidRDefault="002B65EC" w:rsidP="002B65EC">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62200111" w14:textId="77777777" w:rsidR="002B65EC" w:rsidRDefault="002B65EC" w:rsidP="002B65EC">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00D5D779" w14:textId="77777777" w:rsidR="002B65EC" w:rsidRDefault="002B65EC" w:rsidP="002B65EC">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26B7FED2" w14:textId="77777777" w:rsidR="002B65EC" w:rsidRDefault="002B65EC" w:rsidP="002B65EC">
      <w:pPr>
        <w:pStyle w:val="Corpodetexto"/>
        <w:ind w:left="502" w:right="120"/>
        <w:jc w:val="both"/>
        <w:rPr>
          <w:rFonts w:ascii="Arial Narrow" w:hAnsi="Arial Narrow"/>
          <w:b/>
          <w:bCs/>
        </w:rPr>
      </w:pPr>
    </w:p>
    <w:p w14:paraId="7BB78B2A"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4B62BD89" w14:textId="77777777" w:rsidR="002B65EC" w:rsidRDefault="002B65EC" w:rsidP="002B65EC">
      <w:pPr>
        <w:pStyle w:val="Corpodetexto"/>
        <w:ind w:left="709" w:right="120"/>
        <w:jc w:val="both"/>
        <w:rPr>
          <w:rFonts w:ascii="Arial Narrow" w:hAnsi="Arial Narrow"/>
          <w:b/>
          <w:bCs/>
        </w:rPr>
      </w:pPr>
    </w:p>
    <w:p w14:paraId="260E08F6"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037A9731" w14:textId="77777777" w:rsidR="002B65EC" w:rsidRDefault="002B65EC" w:rsidP="002B65EC">
      <w:pPr>
        <w:pStyle w:val="PargrafodaLista"/>
        <w:numPr>
          <w:ilvl w:val="4"/>
          <w:numId w:val="18"/>
        </w:numPr>
        <w:rPr>
          <w:rFonts w:ascii="Arial Narrow" w:hAnsi="Arial Narrow"/>
          <w:b/>
          <w:bCs/>
        </w:rPr>
      </w:pPr>
      <w:r>
        <w:rPr>
          <w:rFonts w:ascii="Arial Narrow" w:hAnsi="Arial Narrow"/>
        </w:rPr>
        <w:t>Por razão de interesse público; ou</w:t>
      </w:r>
    </w:p>
    <w:p w14:paraId="1106F3C4" w14:textId="77777777" w:rsidR="002B65EC" w:rsidRDefault="002B65EC" w:rsidP="002B65EC">
      <w:pPr>
        <w:pStyle w:val="PargrafodaLista"/>
        <w:numPr>
          <w:ilvl w:val="4"/>
          <w:numId w:val="18"/>
        </w:numPr>
        <w:rPr>
          <w:rFonts w:ascii="Arial Narrow" w:hAnsi="Arial Narrow"/>
          <w:b/>
          <w:bCs/>
        </w:rPr>
      </w:pPr>
      <w:r>
        <w:rPr>
          <w:rFonts w:ascii="Arial Narrow" w:hAnsi="Arial Narrow"/>
        </w:rPr>
        <w:t>A pedido do fornecedor.</w:t>
      </w:r>
    </w:p>
    <w:p w14:paraId="52C26C2F" w14:textId="77777777" w:rsidR="002B65EC" w:rsidRDefault="002B65EC" w:rsidP="002B65EC">
      <w:pPr>
        <w:pStyle w:val="PargrafodaLista"/>
        <w:rPr>
          <w:rFonts w:ascii="Arial Narrow" w:hAnsi="Arial Narrow"/>
          <w:b/>
          <w:bCs/>
          <w:sz w:val="22"/>
        </w:rPr>
      </w:pPr>
    </w:p>
    <w:p w14:paraId="07BD39F1"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0164977D" w14:textId="77777777" w:rsidR="002B65EC" w:rsidRDefault="002B65EC" w:rsidP="002B65EC">
      <w:pPr>
        <w:pStyle w:val="Corpodetexto"/>
        <w:ind w:left="360" w:right="120"/>
        <w:jc w:val="both"/>
        <w:rPr>
          <w:rFonts w:ascii="Arial Narrow" w:hAnsi="Arial Narrow"/>
          <w:b/>
          <w:bCs/>
        </w:rPr>
      </w:pPr>
    </w:p>
    <w:p w14:paraId="0B144E16" w14:textId="77777777" w:rsidR="002B65EC" w:rsidRDefault="002B65EC" w:rsidP="002B65EC">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 LEI GERAL DE PROTEÇÃO DE DADOS (LGPD)</w:t>
      </w:r>
    </w:p>
    <w:p w14:paraId="250453E6" w14:textId="77777777" w:rsidR="002B65EC" w:rsidRDefault="002B65EC" w:rsidP="002B65EC">
      <w:pPr>
        <w:pStyle w:val="Corpodetexto"/>
        <w:ind w:left="360" w:right="120"/>
        <w:jc w:val="both"/>
        <w:rPr>
          <w:rFonts w:ascii="Arial Narrow" w:hAnsi="Arial Narrow"/>
          <w:b/>
          <w:bCs/>
        </w:rPr>
      </w:pPr>
    </w:p>
    <w:p w14:paraId="32135C7C"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2BCFCC8A" w14:textId="77777777" w:rsidR="002B65EC" w:rsidRDefault="002B65EC" w:rsidP="002B65EC">
      <w:pPr>
        <w:pStyle w:val="Corpodetexto"/>
        <w:ind w:left="502" w:right="120"/>
        <w:jc w:val="both"/>
        <w:rPr>
          <w:rFonts w:ascii="Arial Narrow" w:hAnsi="Arial Narrow"/>
        </w:rPr>
      </w:pPr>
    </w:p>
    <w:p w14:paraId="5DE690E7"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7151CA0A" w14:textId="77777777" w:rsidR="002B65EC" w:rsidRDefault="002B65EC" w:rsidP="002B65EC">
      <w:pPr>
        <w:pStyle w:val="Corpodetexto"/>
        <w:ind w:left="502" w:right="120"/>
        <w:jc w:val="both"/>
        <w:rPr>
          <w:rFonts w:ascii="Arial Narrow" w:hAnsi="Arial Narrow"/>
        </w:rPr>
      </w:pPr>
    </w:p>
    <w:p w14:paraId="69C0DB2A"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26A4CC13" w14:textId="77777777" w:rsidR="002B65EC" w:rsidRDefault="002B65EC" w:rsidP="002B65EC">
      <w:pPr>
        <w:pStyle w:val="Corpodetexto"/>
        <w:ind w:left="502" w:right="120"/>
        <w:jc w:val="both"/>
        <w:rPr>
          <w:rFonts w:ascii="Arial Narrow" w:hAnsi="Arial Narrow"/>
        </w:rPr>
      </w:pPr>
    </w:p>
    <w:p w14:paraId="1B35CB5F"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79C7C683" w14:textId="77777777" w:rsidR="002B65EC" w:rsidRDefault="002B65EC" w:rsidP="002B65EC">
      <w:pPr>
        <w:pStyle w:val="Corpodetexto"/>
        <w:ind w:left="502" w:right="120"/>
        <w:jc w:val="both"/>
        <w:rPr>
          <w:rFonts w:ascii="Arial Narrow" w:hAnsi="Arial Narrow"/>
        </w:rPr>
      </w:pPr>
    </w:p>
    <w:p w14:paraId="001788FA"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21EE9C30" w14:textId="77777777" w:rsidR="002B65EC" w:rsidRDefault="002B65EC" w:rsidP="002B65EC">
      <w:pPr>
        <w:pStyle w:val="Corpodetexto"/>
        <w:ind w:left="502" w:right="120"/>
        <w:jc w:val="both"/>
        <w:rPr>
          <w:rFonts w:ascii="Arial Narrow" w:hAnsi="Arial Narrow"/>
        </w:rPr>
      </w:pPr>
    </w:p>
    <w:p w14:paraId="59EAAE36"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w:t>
      </w:r>
      <w:r>
        <w:rPr>
          <w:rFonts w:ascii="Arial Narrow" w:hAnsi="Arial Narrow"/>
        </w:rPr>
        <w:lastRenderedPageBreak/>
        <w:t>Nacional de Proteção de Dados).</w:t>
      </w:r>
    </w:p>
    <w:p w14:paraId="1B2A2DC1" w14:textId="77777777" w:rsidR="002B65EC" w:rsidRDefault="002B65EC" w:rsidP="002B65EC">
      <w:pPr>
        <w:pStyle w:val="Corpodetexto"/>
        <w:ind w:left="502" w:right="120"/>
        <w:jc w:val="both"/>
        <w:rPr>
          <w:rFonts w:ascii="Arial Narrow" w:hAnsi="Arial Narrow"/>
        </w:rPr>
      </w:pPr>
    </w:p>
    <w:p w14:paraId="3C29FA50" w14:textId="63F047C4"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w:t>
      </w:r>
      <w:r>
        <w:rPr>
          <w:rFonts w:ascii="Arial Narrow" w:hAnsi="Arial Narrow"/>
        </w:rPr>
        <w:t>alertando-os</w:t>
      </w:r>
      <w:r>
        <w:rPr>
          <w:rFonts w:ascii="Arial Narrow" w:hAnsi="Arial Narrow"/>
        </w:rPr>
        <w:t xml:space="preserve"> sobre as responsabilidades decorrentes do descumprimento de tal dever.</w:t>
      </w:r>
    </w:p>
    <w:p w14:paraId="3174A78E" w14:textId="77777777" w:rsidR="002B65EC" w:rsidRDefault="002B65EC" w:rsidP="002B65EC">
      <w:pPr>
        <w:pStyle w:val="Corpodetexto"/>
        <w:ind w:left="502" w:right="120"/>
        <w:jc w:val="both"/>
        <w:rPr>
          <w:rFonts w:ascii="Arial Narrow" w:hAnsi="Arial Narrow"/>
        </w:rPr>
      </w:pPr>
    </w:p>
    <w:p w14:paraId="634CB9EA"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11854337" w14:textId="77777777" w:rsidR="002B65EC" w:rsidRDefault="002B65EC" w:rsidP="002B65EC">
      <w:pPr>
        <w:pStyle w:val="Corpodetexto"/>
        <w:ind w:left="502" w:right="120"/>
        <w:jc w:val="both"/>
        <w:rPr>
          <w:rFonts w:ascii="Arial Narrow" w:hAnsi="Arial Narrow"/>
        </w:rPr>
      </w:pPr>
    </w:p>
    <w:p w14:paraId="40705C76"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3197FFA6" w14:textId="77777777" w:rsidR="002B65EC" w:rsidRDefault="002B65EC" w:rsidP="002B65EC">
      <w:pPr>
        <w:pStyle w:val="Corpodetexto"/>
        <w:ind w:left="502" w:right="120"/>
        <w:jc w:val="both"/>
        <w:rPr>
          <w:rFonts w:ascii="Arial Narrow" w:hAnsi="Arial Narrow"/>
        </w:rPr>
      </w:pPr>
    </w:p>
    <w:p w14:paraId="2F37428C"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7600B405" w14:textId="77777777" w:rsidR="002B65EC" w:rsidRDefault="002B65EC" w:rsidP="002B65EC">
      <w:pPr>
        <w:pStyle w:val="Corpodetexto"/>
        <w:ind w:left="502" w:right="120"/>
        <w:jc w:val="both"/>
        <w:rPr>
          <w:rFonts w:ascii="Arial Narrow" w:hAnsi="Arial Narrow"/>
        </w:rPr>
      </w:pPr>
    </w:p>
    <w:p w14:paraId="140728BE"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71B2BD7D" w14:textId="77777777" w:rsidR="002B65EC" w:rsidRDefault="002B65EC" w:rsidP="002B65EC">
      <w:pPr>
        <w:pStyle w:val="Corpodetexto"/>
        <w:ind w:left="502" w:right="120"/>
        <w:jc w:val="both"/>
        <w:rPr>
          <w:rFonts w:ascii="Arial Narrow" w:hAnsi="Arial Narrow"/>
        </w:rPr>
      </w:pPr>
    </w:p>
    <w:p w14:paraId="711C54A6"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66E86867" w14:textId="77777777" w:rsidR="002B65EC" w:rsidRDefault="002B65EC" w:rsidP="002B65EC">
      <w:pPr>
        <w:pStyle w:val="Corpodetexto"/>
        <w:ind w:left="502" w:right="120"/>
        <w:jc w:val="both"/>
        <w:rPr>
          <w:rFonts w:ascii="Arial Narrow" w:hAnsi="Arial Narrow"/>
        </w:rPr>
      </w:pPr>
    </w:p>
    <w:p w14:paraId="7CFA1A3F"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21CDD322" w14:textId="77777777" w:rsidR="002B65EC" w:rsidRDefault="002B65EC" w:rsidP="002B65EC">
      <w:pPr>
        <w:pStyle w:val="PargrafodaLista"/>
        <w:rPr>
          <w:rFonts w:ascii="Arial Narrow" w:hAnsi="Arial Narrow"/>
          <w:b/>
          <w:bCs/>
        </w:rPr>
      </w:pPr>
    </w:p>
    <w:p w14:paraId="702976B9" w14:textId="77777777" w:rsidR="002B65EC" w:rsidRDefault="002B65EC" w:rsidP="002B65EC">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DAS INFRAÇÕES E SANÇÕES ADMINISTRATIVAS</w:t>
      </w:r>
    </w:p>
    <w:p w14:paraId="01BC79F7" w14:textId="77777777" w:rsidR="002B65EC" w:rsidRDefault="002B65EC" w:rsidP="002B65EC">
      <w:pPr>
        <w:pStyle w:val="Corpodetexto"/>
        <w:ind w:left="360" w:right="120"/>
        <w:jc w:val="both"/>
        <w:rPr>
          <w:rFonts w:ascii="Arial Narrow" w:hAnsi="Arial Narrow"/>
          <w:b/>
          <w:bCs/>
        </w:rPr>
      </w:pPr>
    </w:p>
    <w:p w14:paraId="369FBBCB" w14:textId="1757A67C"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efeitos da presente cláusula, considera-se que após a realização da Solicitação de Fornecimento por </w:t>
      </w:r>
      <w:r>
        <w:rPr>
          <w:rFonts w:ascii="Arial Narrow" w:hAnsi="Arial Narrow"/>
        </w:rPr>
        <w:t>Órgão</w:t>
      </w:r>
      <w:r>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28F42408" w14:textId="77777777" w:rsidR="002B65EC" w:rsidRDefault="002B65EC" w:rsidP="002B65EC">
      <w:pPr>
        <w:pStyle w:val="Corpodetexto"/>
        <w:ind w:left="709" w:right="120"/>
        <w:jc w:val="both"/>
        <w:rPr>
          <w:rFonts w:ascii="Arial Narrow" w:hAnsi="Arial Narrow"/>
          <w:b/>
          <w:bCs/>
        </w:rPr>
      </w:pPr>
    </w:p>
    <w:p w14:paraId="391703C0" w14:textId="7C934F99"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cumprimento dessa cláusula, considera-se para o ato </w:t>
      </w:r>
      <w:r>
        <w:rPr>
          <w:rFonts w:ascii="Arial Narrow" w:hAnsi="Arial Narrow"/>
        </w:rPr>
        <w:t>especifico</w:t>
      </w:r>
      <w:r>
        <w:rPr>
          <w:rFonts w:ascii="Arial Narrow" w:hAnsi="Arial Narrow"/>
        </w:rPr>
        <w:t xml:space="preserve"> após a realização da Solicitação de Fornecimento, que o ORGÃO GERENCIADOR passe a ser denominada CONTRATANTE e a DETENTORA passe a ser denominada CONTRATADA;</w:t>
      </w:r>
    </w:p>
    <w:p w14:paraId="42F7A31C" w14:textId="77777777" w:rsidR="002B65EC" w:rsidRDefault="002B65EC" w:rsidP="002B65EC">
      <w:pPr>
        <w:pStyle w:val="Corpodetexto"/>
        <w:ind w:left="502" w:right="120"/>
        <w:jc w:val="both"/>
        <w:rPr>
          <w:rFonts w:ascii="Arial Narrow" w:hAnsi="Arial Narrow"/>
          <w:b/>
          <w:bCs/>
        </w:rPr>
      </w:pPr>
    </w:p>
    <w:p w14:paraId="31393227"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Comete infração administrativa, nos termos da Lei 14.133/2021, o detentor que:</w:t>
      </w:r>
    </w:p>
    <w:p w14:paraId="7A45D8DB" w14:textId="77777777" w:rsidR="002B65EC" w:rsidRDefault="002B65EC" w:rsidP="002B65EC">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w:t>
      </w:r>
    </w:p>
    <w:p w14:paraId="649D4FD4" w14:textId="77777777" w:rsidR="002B65EC" w:rsidRDefault="002B65EC" w:rsidP="002B65EC">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020C650A" w14:textId="77777777" w:rsidR="002B65EC" w:rsidRDefault="002B65EC" w:rsidP="002B65EC">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total do contrato;</w:t>
      </w:r>
    </w:p>
    <w:p w14:paraId="308CEF20" w14:textId="77777777" w:rsidR="002B65EC" w:rsidRDefault="002B65EC" w:rsidP="002B65EC">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29BE64D6" w14:textId="77777777" w:rsidR="002B65EC" w:rsidRDefault="002B65EC" w:rsidP="002B65EC">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082F37CB" w14:textId="77777777" w:rsidR="002B65EC" w:rsidRDefault="002B65EC" w:rsidP="002B65EC">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lastRenderedPageBreak/>
        <w:t>praticar ato fraudulento na execução do contrato;</w:t>
      </w:r>
    </w:p>
    <w:p w14:paraId="167C1641" w14:textId="77777777" w:rsidR="002B65EC" w:rsidRDefault="002B65EC" w:rsidP="002B65EC">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comportar-se de modo inidôneo ou cometer fraude de qualquer natureza;</w:t>
      </w:r>
    </w:p>
    <w:p w14:paraId="316E753C" w14:textId="77777777" w:rsidR="002B65EC" w:rsidRDefault="002B65EC" w:rsidP="002B65EC">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praticar ato lesivo previsto no art. 5º da Lei nº 12.846, de 1º de agosto de 2013.</w:t>
      </w:r>
    </w:p>
    <w:p w14:paraId="75944C6B" w14:textId="77777777" w:rsidR="002B65EC" w:rsidRDefault="002B65EC" w:rsidP="002B65EC">
      <w:pPr>
        <w:pStyle w:val="Corpodetexto"/>
        <w:ind w:left="502" w:right="120"/>
        <w:jc w:val="both"/>
        <w:rPr>
          <w:rFonts w:ascii="Arial Narrow" w:hAnsi="Arial Narrow"/>
          <w:b/>
          <w:bCs/>
        </w:rPr>
      </w:pPr>
    </w:p>
    <w:p w14:paraId="5544ABF7" w14:textId="77777777" w:rsidR="002B65EC" w:rsidRDefault="002B65EC" w:rsidP="002B65EC">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Serão aplicadas ao contratado que incorrer nas infrações acima descritas as seguintes sanções:</w:t>
      </w:r>
    </w:p>
    <w:p w14:paraId="46860FC0" w14:textId="77777777" w:rsidR="002B65EC" w:rsidRDefault="002B65EC" w:rsidP="002B65EC">
      <w:pPr>
        <w:pStyle w:val="Corpodetexto"/>
        <w:ind w:left="502" w:right="120"/>
        <w:jc w:val="both"/>
        <w:rPr>
          <w:rFonts w:ascii="Arial Narrow" w:hAnsi="Arial Narrow"/>
          <w:b/>
          <w:bCs/>
        </w:rPr>
      </w:pPr>
    </w:p>
    <w:p w14:paraId="20171D9B" w14:textId="77777777" w:rsidR="002B65EC" w:rsidRDefault="002B65EC" w:rsidP="002B65EC">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31D78985" w14:textId="77777777" w:rsidR="002B65EC" w:rsidRDefault="002B65EC" w:rsidP="002B65EC">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Multa:</w:t>
      </w:r>
    </w:p>
    <w:p w14:paraId="34C36E5C" w14:textId="77777777" w:rsidR="002B65EC" w:rsidRDefault="002B65EC" w:rsidP="002B65EC">
      <w:pPr>
        <w:pStyle w:val="PargrafodaLista"/>
        <w:rPr>
          <w:rFonts w:ascii="Arial Narrow" w:hAnsi="Arial Narrow"/>
          <w:b/>
          <w:bCs/>
        </w:rPr>
      </w:pPr>
    </w:p>
    <w:p w14:paraId="486D9E5B" w14:textId="77777777" w:rsidR="002B65EC" w:rsidRDefault="002B65EC" w:rsidP="002B65EC">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3060E838" w14:textId="77777777" w:rsidR="002B65EC" w:rsidRDefault="002B65EC" w:rsidP="002B65EC">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10B97A0C" w14:textId="77777777" w:rsidR="002B65EC" w:rsidRDefault="002B65EC" w:rsidP="002B65EC">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368BDFB3" w14:textId="77777777" w:rsidR="002B65EC" w:rsidRDefault="002B65EC" w:rsidP="002B65EC">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30% (trinta por cento) do valor do contrato no caso de inexecução total do contrato.</w:t>
      </w:r>
    </w:p>
    <w:p w14:paraId="2F11987D" w14:textId="77777777" w:rsidR="002B65EC" w:rsidRDefault="002B65EC" w:rsidP="002B65EC">
      <w:pPr>
        <w:pStyle w:val="Corpodetexto"/>
        <w:ind w:left="1276" w:right="120"/>
        <w:jc w:val="both"/>
        <w:rPr>
          <w:rFonts w:ascii="Arial Narrow" w:hAnsi="Arial Narrow"/>
          <w:b/>
          <w:bCs/>
        </w:rPr>
      </w:pPr>
    </w:p>
    <w:p w14:paraId="5113D1AB" w14:textId="77777777" w:rsidR="002B65EC" w:rsidRDefault="002B65EC" w:rsidP="002B65EC">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Será configurada a inexecução total do objeto, quando:</w:t>
      </w:r>
    </w:p>
    <w:p w14:paraId="005F7A4C" w14:textId="77777777" w:rsidR="002B65EC" w:rsidRDefault="002B65EC" w:rsidP="002B65EC">
      <w:pPr>
        <w:pStyle w:val="Corpodetexto"/>
        <w:widowControl w:val="0"/>
        <w:numPr>
          <w:ilvl w:val="0"/>
          <w:numId w:val="21"/>
        </w:numPr>
        <w:autoSpaceDE w:val="0"/>
        <w:autoSpaceDN w:val="0"/>
        <w:spacing w:after="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69E35BAC" w14:textId="77777777" w:rsidR="002B65EC" w:rsidRDefault="002B65EC" w:rsidP="002B65EC">
      <w:pPr>
        <w:pStyle w:val="Corpodetexto"/>
        <w:widowControl w:val="0"/>
        <w:numPr>
          <w:ilvl w:val="0"/>
          <w:numId w:val="21"/>
        </w:numPr>
        <w:autoSpaceDE w:val="0"/>
        <w:autoSpaceDN w:val="0"/>
        <w:spacing w:after="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5240B9D0" w14:textId="77777777" w:rsidR="002B65EC" w:rsidRDefault="002B65EC" w:rsidP="002B65EC">
      <w:pPr>
        <w:pStyle w:val="Corpodetexto"/>
        <w:ind w:left="1276" w:right="120"/>
        <w:jc w:val="both"/>
        <w:rPr>
          <w:rFonts w:ascii="Arial Narrow" w:hAnsi="Arial Narrow"/>
          <w:b/>
          <w:bCs/>
        </w:rPr>
      </w:pPr>
    </w:p>
    <w:p w14:paraId="1825511C" w14:textId="77777777" w:rsidR="002B65EC" w:rsidRDefault="002B65EC" w:rsidP="002B65EC">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6AA54BE7" w14:textId="77777777" w:rsidR="002B65EC" w:rsidRDefault="002B65EC" w:rsidP="002B65EC">
      <w:pPr>
        <w:pStyle w:val="Corpodetexto"/>
        <w:widowControl w:val="0"/>
        <w:numPr>
          <w:ilvl w:val="0"/>
          <w:numId w:val="22"/>
        </w:numPr>
        <w:autoSpaceDE w:val="0"/>
        <w:autoSpaceDN w:val="0"/>
        <w:spacing w:after="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625DC79D" w14:textId="77777777" w:rsidR="002B65EC" w:rsidRDefault="002B65EC" w:rsidP="002B65EC">
      <w:pPr>
        <w:pStyle w:val="Corpodetexto"/>
        <w:widowControl w:val="0"/>
        <w:numPr>
          <w:ilvl w:val="0"/>
          <w:numId w:val="22"/>
        </w:numPr>
        <w:autoSpaceDE w:val="0"/>
        <w:autoSpaceDN w:val="0"/>
        <w:spacing w:after="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42BFC50D" w14:textId="77777777" w:rsidR="002B65EC" w:rsidRDefault="002B65EC" w:rsidP="002B65EC">
      <w:pPr>
        <w:pStyle w:val="Corpodetexto"/>
        <w:ind w:left="1276" w:right="120"/>
        <w:jc w:val="both"/>
        <w:rPr>
          <w:rFonts w:ascii="Arial Narrow" w:hAnsi="Arial Narrow"/>
          <w:b/>
          <w:bCs/>
        </w:rPr>
      </w:pPr>
    </w:p>
    <w:p w14:paraId="51F75698" w14:textId="77777777" w:rsidR="002B65EC" w:rsidRDefault="002B65EC" w:rsidP="002B65EC">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18C1DB04" w14:textId="77777777" w:rsidR="002B65EC" w:rsidRDefault="002B65EC" w:rsidP="002B65EC">
      <w:pPr>
        <w:pStyle w:val="Corpodetexto"/>
        <w:ind w:left="709" w:right="120" w:hanging="567"/>
        <w:jc w:val="both"/>
        <w:rPr>
          <w:rFonts w:ascii="Arial Narrow" w:hAnsi="Arial Narrow"/>
          <w:b/>
          <w:bCs/>
        </w:rPr>
      </w:pPr>
    </w:p>
    <w:p w14:paraId="5FFBDB1A" w14:textId="77777777" w:rsidR="002B65EC" w:rsidRDefault="002B65EC" w:rsidP="002B65EC">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5C116C8E" w14:textId="77777777" w:rsidR="002B65EC" w:rsidRDefault="002B65EC" w:rsidP="002B65EC">
      <w:pPr>
        <w:pStyle w:val="PargrafodaLista"/>
        <w:ind w:left="709"/>
        <w:rPr>
          <w:rFonts w:ascii="Arial Narrow" w:hAnsi="Arial Narrow"/>
          <w:b/>
          <w:bCs/>
        </w:rPr>
      </w:pPr>
    </w:p>
    <w:p w14:paraId="237E63F2" w14:textId="77777777" w:rsidR="002B65EC" w:rsidRDefault="002B65EC" w:rsidP="002B65EC">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42CD0505" w14:textId="77777777" w:rsidR="002B65EC" w:rsidRDefault="002B65EC" w:rsidP="002B65EC">
      <w:pPr>
        <w:pStyle w:val="Corpodetexto"/>
        <w:ind w:left="709" w:right="120" w:hanging="426"/>
        <w:jc w:val="both"/>
        <w:rPr>
          <w:rFonts w:ascii="Arial Narrow" w:hAnsi="Arial Narrow"/>
          <w:b/>
          <w:bCs/>
          <w:sz w:val="16"/>
        </w:rPr>
      </w:pPr>
    </w:p>
    <w:p w14:paraId="4E465CF1" w14:textId="77777777" w:rsidR="002B65EC" w:rsidRDefault="002B65EC" w:rsidP="002B65EC">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7C68785E" w14:textId="77777777" w:rsidR="002B65EC" w:rsidRDefault="002B65EC" w:rsidP="002B65EC">
      <w:pPr>
        <w:pStyle w:val="PargrafodaLista"/>
        <w:ind w:left="709" w:hanging="426"/>
        <w:rPr>
          <w:rFonts w:ascii="Arial Narrow" w:hAnsi="Arial Narrow"/>
          <w:b/>
          <w:bCs/>
          <w:sz w:val="18"/>
        </w:rPr>
      </w:pPr>
    </w:p>
    <w:p w14:paraId="4EDEA0CA" w14:textId="77777777" w:rsidR="002B65EC" w:rsidRDefault="002B65EC" w:rsidP="002B65EC">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4DCB3BED" w14:textId="77777777" w:rsidR="002B65EC" w:rsidRDefault="002B65EC" w:rsidP="002B65EC">
      <w:pPr>
        <w:pStyle w:val="Corpodetexto"/>
        <w:ind w:left="709" w:right="120" w:hanging="567"/>
        <w:jc w:val="both"/>
        <w:rPr>
          <w:rFonts w:ascii="Arial Narrow" w:hAnsi="Arial Narrow"/>
          <w:b/>
          <w:bCs/>
          <w:sz w:val="16"/>
        </w:rPr>
      </w:pPr>
    </w:p>
    <w:p w14:paraId="08C6C513" w14:textId="77777777" w:rsidR="002B65EC" w:rsidRDefault="002B65EC" w:rsidP="002B65EC">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 xml:space="preserve">Se a multa aplicada e as indenizações cabíveis forem superiores ao valor do pagamento eventualmente devido pelo Contratante à Contratado, além da perda desse valor, a diferença será descontada da garantia prestada ou </w:t>
      </w:r>
      <w:r>
        <w:rPr>
          <w:rFonts w:ascii="Arial Narrow" w:hAnsi="Arial Narrow"/>
        </w:rPr>
        <w:lastRenderedPageBreak/>
        <w:t>será cobrada judicialmente (art. 156, §8º, da Lei nº 14.133, de 2021).</w:t>
      </w:r>
    </w:p>
    <w:p w14:paraId="4C831270" w14:textId="77777777" w:rsidR="002B65EC" w:rsidRDefault="002B65EC" w:rsidP="002B65EC">
      <w:pPr>
        <w:pStyle w:val="PargrafodaLista"/>
        <w:ind w:left="709"/>
        <w:rPr>
          <w:rFonts w:ascii="Arial Narrow" w:hAnsi="Arial Narrow"/>
          <w:b/>
          <w:bCs/>
          <w:sz w:val="18"/>
        </w:rPr>
      </w:pPr>
    </w:p>
    <w:p w14:paraId="5B6736CA" w14:textId="504D9ABA" w:rsidR="002B65EC" w:rsidRDefault="002B65EC" w:rsidP="002B65EC">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w:t>
      </w:r>
      <w:r>
        <w:rPr>
          <w:rFonts w:ascii="Arial Narrow" w:hAnsi="Arial Narrow"/>
        </w:rPr>
        <w:t>trinta</w:t>
      </w:r>
      <w:r>
        <w:rPr>
          <w:rFonts w:ascii="Arial Narrow" w:hAnsi="Arial Narrow"/>
        </w:rPr>
        <w:t>) dias, a contar da data do recebimento da comunicação enviada pela autoridade competente.</w:t>
      </w:r>
    </w:p>
    <w:p w14:paraId="21ADD700" w14:textId="77777777" w:rsidR="002B65EC" w:rsidRDefault="002B65EC" w:rsidP="002B65EC">
      <w:pPr>
        <w:pStyle w:val="PargrafodaLista"/>
        <w:ind w:left="709" w:hanging="426"/>
        <w:rPr>
          <w:rFonts w:ascii="Arial Narrow" w:hAnsi="Arial Narrow"/>
          <w:b/>
          <w:bCs/>
          <w:sz w:val="18"/>
        </w:rPr>
      </w:pPr>
    </w:p>
    <w:p w14:paraId="251DD8E5" w14:textId="77777777" w:rsidR="002B65EC" w:rsidRDefault="002B65EC" w:rsidP="002B65EC">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05167E05" w14:textId="77777777" w:rsidR="002B65EC" w:rsidRDefault="002B65EC" w:rsidP="002B65EC">
      <w:pPr>
        <w:pStyle w:val="Corpodetexto"/>
        <w:ind w:left="709" w:right="120" w:hanging="426"/>
        <w:jc w:val="both"/>
        <w:rPr>
          <w:rFonts w:ascii="Arial Narrow" w:hAnsi="Arial Narrow"/>
          <w:b/>
          <w:bCs/>
        </w:rPr>
      </w:pPr>
    </w:p>
    <w:p w14:paraId="4AED3B77" w14:textId="77777777" w:rsidR="002B65EC" w:rsidRDefault="002B65EC" w:rsidP="002B65EC">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0A0F202C" w14:textId="77777777" w:rsidR="002B65EC" w:rsidRDefault="002B65EC" w:rsidP="002B65EC">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 natureza e a gravidade da infração cometida;</w:t>
      </w:r>
    </w:p>
    <w:p w14:paraId="0151E698" w14:textId="77777777" w:rsidR="002B65EC" w:rsidRDefault="002B65EC" w:rsidP="002B65EC">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as peculiaridades do caso concreto;</w:t>
      </w:r>
    </w:p>
    <w:p w14:paraId="3E0807F2" w14:textId="77777777" w:rsidR="002B65EC" w:rsidRDefault="002B65EC" w:rsidP="002B65EC">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as circunstâncias agravantes ou atenuantes;</w:t>
      </w:r>
    </w:p>
    <w:p w14:paraId="5525A7A1" w14:textId="77777777" w:rsidR="002B65EC" w:rsidRDefault="002B65EC" w:rsidP="002B65EC">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os danos que dela provierem para o Contratante;</w:t>
      </w:r>
    </w:p>
    <w:p w14:paraId="209CB331" w14:textId="77777777" w:rsidR="002B65EC" w:rsidRDefault="002B65EC" w:rsidP="002B65EC">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36932143" w14:textId="77777777" w:rsidR="002B65EC" w:rsidRDefault="002B65EC" w:rsidP="002B65EC">
      <w:pPr>
        <w:pStyle w:val="PargrafodaLista"/>
        <w:ind w:left="709" w:hanging="426"/>
        <w:rPr>
          <w:rFonts w:ascii="Arial Narrow" w:hAnsi="Arial Narrow"/>
          <w:b/>
          <w:bCs/>
          <w:sz w:val="18"/>
        </w:rPr>
      </w:pPr>
    </w:p>
    <w:p w14:paraId="456FE59A" w14:textId="77777777" w:rsidR="002B65EC" w:rsidRDefault="002B65EC" w:rsidP="002B65EC">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70C80BC0" w14:textId="77777777" w:rsidR="002B65EC" w:rsidRDefault="002B65EC" w:rsidP="002B65EC">
      <w:pPr>
        <w:pStyle w:val="Corpodetexto"/>
        <w:ind w:left="283" w:right="120"/>
        <w:jc w:val="both"/>
        <w:rPr>
          <w:rFonts w:ascii="Arial Narrow" w:hAnsi="Arial Narrow"/>
          <w:b/>
          <w:bCs/>
        </w:rPr>
      </w:pPr>
    </w:p>
    <w:p w14:paraId="4577B78A"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CC90D77" w14:textId="77777777" w:rsidR="002B65EC" w:rsidRDefault="002B65EC" w:rsidP="002B65EC">
      <w:pPr>
        <w:pStyle w:val="PargrafodaLista"/>
        <w:ind w:left="709"/>
        <w:rPr>
          <w:rFonts w:ascii="Arial Narrow" w:hAnsi="Arial Narrow"/>
          <w:b/>
          <w:bCs/>
        </w:rPr>
      </w:pPr>
    </w:p>
    <w:p w14:paraId="68164A05"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3A22A012" w14:textId="77777777" w:rsidR="002B65EC" w:rsidRDefault="002B65EC" w:rsidP="002B65EC">
      <w:pPr>
        <w:pStyle w:val="PargrafodaLista"/>
        <w:ind w:left="709"/>
        <w:rPr>
          <w:rFonts w:ascii="Arial Narrow" w:hAnsi="Arial Narrow"/>
          <w:b/>
          <w:bCs/>
        </w:rPr>
      </w:pPr>
    </w:p>
    <w:p w14:paraId="5D63AED9"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5437B2A4" w14:textId="77777777" w:rsidR="002B65EC" w:rsidRDefault="002B65EC" w:rsidP="002B65EC">
      <w:pPr>
        <w:pStyle w:val="PargrafodaLista"/>
        <w:ind w:left="709"/>
        <w:rPr>
          <w:rFonts w:ascii="Arial Narrow" w:hAnsi="Arial Narrow"/>
          <w:b/>
          <w:bCs/>
        </w:rPr>
      </w:pPr>
    </w:p>
    <w:p w14:paraId="77CD286C" w14:textId="77777777" w:rsidR="002B65EC" w:rsidRDefault="002B65EC" w:rsidP="002B65EC">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1494B830" w14:textId="77777777" w:rsidR="002B65EC" w:rsidRDefault="002B65EC" w:rsidP="002B65EC">
      <w:pPr>
        <w:pStyle w:val="PargrafodaLista"/>
        <w:ind w:left="709"/>
        <w:rPr>
          <w:rFonts w:ascii="Arial Narrow" w:hAnsi="Arial Narrow"/>
          <w:b/>
          <w:bCs/>
        </w:rPr>
      </w:pPr>
    </w:p>
    <w:p w14:paraId="286AD425" w14:textId="77777777" w:rsidR="002B65EC" w:rsidRDefault="002B65EC" w:rsidP="002B65EC">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PUBLICAÇÃO</w:t>
      </w:r>
    </w:p>
    <w:p w14:paraId="25594697" w14:textId="77777777" w:rsidR="002B65EC" w:rsidRDefault="002B65EC" w:rsidP="002B65EC">
      <w:pPr>
        <w:pStyle w:val="Corpodetexto"/>
        <w:ind w:left="567" w:right="120" w:hanging="425"/>
        <w:jc w:val="both"/>
        <w:rPr>
          <w:rFonts w:ascii="Arial Narrow" w:hAnsi="Arial Narrow"/>
          <w:b/>
          <w:bCs/>
        </w:rPr>
      </w:pPr>
    </w:p>
    <w:p w14:paraId="6CF5DCB4"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2F20DB08" w14:textId="77777777" w:rsidR="002B65EC" w:rsidRDefault="002B65EC" w:rsidP="002B65EC">
      <w:pPr>
        <w:pStyle w:val="Corpodetexto"/>
        <w:ind w:left="567" w:right="120" w:hanging="425"/>
        <w:jc w:val="both"/>
        <w:rPr>
          <w:rFonts w:ascii="Arial Narrow" w:hAnsi="Arial Narrow"/>
          <w:b/>
          <w:bCs/>
        </w:rPr>
      </w:pPr>
    </w:p>
    <w:p w14:paraId="1A7F7C47" w14:textId="77777777" w:rsidR="002B65EC" w:rsidRDefault="002B65EC" w:rsidP="002B65EC">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DOS CASOS OMISSOS E CONDIÇÕES GERAIS</w:t>
      </w:r>
    </w:p>
    <w:p w14:paraId="27CF7661" w14:textId="77777777" w:rsidR="002B65EC" w:rsidRDefault="002B65EC" w:rsidP="002B65EC">
      <w:pPr>
        <w:pStyle w:val="Corpodetexto"/>
        <w:ind w:left="567" w:right="120" w:hanging="425"/>
        <w:jc w:val="both"/>
        <w:rPr>
          <w:rFonts w:ascii="Arial Narrow" w:hAnsi="Arial Narrow"/>
          <w:b/>
          <w:bCs/>
        </w:rPr>
      </w:pPr>
    </w:p>
    <w:p w14:paraId="5CFD1EC2"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 xml:space="preserve">Os casos omissos serão resolvidos com base na Lei n.º 14.133, de 1º de abril de 2021, cujas normas ficam incorporadas integralmente neste instrumento, ainda que delas não se faça menção expressa, e ainda, os preceitos </w:t>
      </w:r>
      <w:r>
        <w:rPr>
          <w:rFonts w:ascii="Arial Narrow" w:hAnsi="Arial Narrow"/>
        </w:rPr>
        <w:lastRenderedPageBreak/>
        <w:t>gerais do direito público, os princípios da teoria geral dos contratos e as disposições de direito privado.</w:t>
      </w:r>
    </w:p>
    <w:p w14:paraId="7591E92A" w14:textId="77777777" w:rsidR="002B65EC" w:rsidRDefault="002B65EC" w:rsidP="002B65EC">
      <w:pPr>
        <w:pStyle w:val="Corpodetexto"/>
        <w:ind w:left="567" w:right="120" w:hanging="425"/>
        <w:jc w:val="both"/>
        <w:rPr>
          <w:rFonts w:ascii="Arial Narrow" w:hAnsi="Arial Narrow"/>
          <w:b/>
          <w:bCs/>
        </w:rPr>
      </w:pPr>
    </w:p>
    <w:p w14:paraId="79AAF7A6"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2EEBA433" w14:textId="77777777" w:rsidR="002B65EC" w:rsidRDefault="002B65EC" w:rsidP="002B65EC">
      <w:pPr>
        <w:pStyle w:val="PargrafodaLista"/>
        <w:ind w:left="567" w:hanging="425"/>
        <w:rPr>
          <w:rFonts w:ascii="Arial Narrow" w:hAnsi="Arial Narrow"/>
          <w:b/>
          <w:bCs/>
        </w:rPr>
      </w:pPr>
    </w:p>
    <w:p w14:paraId="21070CF9"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26897B22" w14:textId="77777777" w:rsidR="002B65EC" w:rsidRDefault="002B65EC" w:rsidP="002B65EC">
      <w:pPr>
        <w:pStyle w:val="PargrafodaLista"/>
        <w:ind w:left="567" w:hanging="425"/>
        <w:rPr>
          <w:rFonts w:ascii="Arial Narrow" w:hAnsi="Arial Narrow"/>
          <w:b/>
          <w:bCs/>
        </w:rPr>
      </w:pPr>
    </w:p>
    <w:p w14:paraId="0345968E" w14:textId="77777777" w:rsidR="002B65EC" w:rsidRDefault="002B65EC" w:rsidP="002B65EC">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 FORO</w:t>
      </w:r>
    </w:p>
    <w:p w14:paraId="1FAD78D7" w14:textId="77777777" w:rsidR="002B65EC" w:rsidRDefault="002B65EC" w:rsidP="002B65EC">
      <w:pPr>
        <w:pStyle w:val="Corpodetexto"/>
        <w:ind w:left="567" w:right="120" w:hanging="425"/>
        <w:jc w:val="both"/>
        <w:rPr>
          <w:rFonts w:ascii="Arial Narrow" w:hAnsi="Arial Narrow"/>
          <w:b/>
          <w:bCs/>
        </w:rPr>
      </w:pPr>
    </w:p>
    <w:p w14:paraId="5D018CE0" w14:textId="77777777" w:rsidR="002B65EC" w:rsidRDefault="002B65EC" w:rsidP="002B65EC">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1F8643C5" w14:textId="77777777" w:rsidR="002B65EC" w:rsidRDefault="002B65EC" w:rsidP="002B65EC">
      <w:pPr>
        <w:pStyle w:val="Corpodetexto"/>
        <w:ind w:left="567" w:right="120" w:hanging="425"/>
        <w:jc w:val="both"/>
        <w:rPr>
          <w:rFonts w:ascii="Arial Narrow" w:hAnsi="Arial Narrow"/>
        </w:rPr>
      </w:pPr>
    </w:p>
    <w:p w14:paraId="03BB3294" w14:textId="1E28541D" w:rsidR="00261BED" w:rsidRDefault="002B65EC" w:rsidP="002B65EC">
      <w:pPr>
        <w:rPr>
          <w:rFonts w:ascii="Arial Narrow" w:hAnsi="Arial Narrow"/>
        </w:rPr>
      </w:pPr>
      <w:r>
        <w:rPr>
          <w:rFonts w:ascii="Arial Narrow" w:hAnsi="Arial Narrow"/>
        </w:rPr>
        <w:t>E, por estarem acordes, firmam o presente instrumento, assinado de forma digital, para todos os efeitos de direito</w:t>
      </w:r>
    </w:p>
    <w:p w14:paraId="0C2F8FB7" w14:textId="7A509B25" w:rsidR="002B65EC" w:rsidRDefault="002242AC" w:rsidP="002242AC">
      <w:pPr>
        <w:tabs>
          <w:tab w:val="left" w:pos="6795"/>
        </w:tabs>
        <w:rPr>
          <w:rFonts w:ascii="Arial Narrow" w:hAnsi="Arial Narrow"/>
        </w:rPr>
      </w:pPr>
      <w:r>
        <w:rPr>
          <w:rFonts w:ascii="Arial Narrow" w:hAnsi="Arial Narrow"/>
        </w:rPr>
        <w:tab/>
      </w:r>
    </w:p>
    <w:p w14:paraId="015CD10F" w14:textId="77777777" w:rsidR="002242AC" w:rsidRDefault="002242AC" w:rsidP="002242AC">
      <w:pPr>
        <w:tabs>
          <w:tab w:val="left" w:pos="6795"/>
        </w:tabs>
        <w:rPr>
          <w:rFonts w:ascii="Arial Narrow" w:hAnsi="Arial Narrow"/>
        </w:rPr>
      </w:pPr>
    </w:p>
    <w:p w14:paraId="20B24AED" w14:textId="5F516A26" w:rsidR="002B65EC" w:rsidRDefault="002B65EC" w:rsidP="002B65EC">
      <w:pPr>
        <w:spacing w:line="276" w:lineRule="auto"/>
        <w:jc w:val="center"/>
        <w:rPr>
          <w:rFonts w:ascii="Arial Narrow" w:hAnsi="Arial Narrow"/>
        </w:rPr>
      </w:pPr>
      <w:r>
        <w:rPr>
          <w:rFonts w:ascii="Arial Narrow" w:hAnsi="Arial Narrow"/>
        </w:rPr>
        <w:t xml:space="preserve">Água Doce, SC, </w:t>
      </w:r>
      <w:r>
        <w:rPr>
          <w:rFonts w:ascii="Arial Narrow" w:hAnsi="Arial Narrow"/>
        </w:rPr>
        <w:t>10</w:t>
      </w:r>
      <w:r>
        <w:rPr>
          <w:rFonts w:ascii="Arial Narrow" w:hAnsi="Arial Narrow"/>
        </w:rPr>
        <w:t xml:space="preserve"> de </w:t>
      </w:r>
      <w:r>
        <w:rPr>
          <w:rFonts w:ascii="Arial Narrow" w:hAnsi="Arial Narrow"/>
        </w:rPr>
        <w:t>setembro</w:t>
      </w:r>
      <w:r>
        <w:rPr>
          <w:rFonts w:ascii="Arial Narrow" w:hAnsi="Arial Narrow"/>
        </w:rPr>
        <w:t xml:space="preserve"> de 2024.</w:t>
      </w:r>
    </w:p>
    <w:p w14:paraId="72F127A8" w14:textId="77777777" w:rsidR="002B65EC" w:rsidRDefault="002B65EC" w:rsidP="002B65EC">
      <w:pPr>
        <w:spacing w:line="276" w:lineRule="auto"/>
        <w:jc w:val="both"/>
        <w:rPr>
          <w:rFonts w:ascii="Arial Narrow" w:hAnsi="Arial Narrow"/>
        </w:rPr>
      </w:pPr>
    </w:p>
    <w:p w14:paraId="288B55C3" w14:textId="77777777" w:rsidR="002B65EC" w:rsidRDefault="002B65EC" w:rsidP="002B65EC">
      <w:pPr>
        <w:spacing w:line="276" w:lineRule="auto"/>
        <w:jc w:val="both"/>
        <w:rPr>
          <w:rFonts w:ascii="Arial Narrow" w:hAnsi="Arial Narrow"/>
        </w:rPr>
      </w:pPr>
    </w:p>
    <w:p w14:paraId="0465EBE4" w14:textId="77777777" w:rsidR="002B65EC" w:rsidRDefault="002B65EC" w:rsidP="002B65EC">
      <w:pPr>
        <w:spacing w:line="276" w:lineRule="auto"/>
        <w:jc w:val="both"/>
        <w:rPr>
          <w:rFonts w:ascii="Arial Narrow" w:hAnsi="Arial Narrow"/>
        </w:rPr>
      </w:pPr>
    </w:p>
    <w:p w14:paraId="55173955" w14:textId="77777777" w:rsidR="002B65EC" w:rsidRDefault="002B65EC" w:rsidP="002B65EC">
      <w:pPr>
        <w:spacing w:line="276" w:lineRule="auto"/>
        <w:jc w:val="both"/>
        <w:rPr>
          <w:rFonts w:ascii="Arial Narrow" w:hAnsi="Arial Narrow"/>
        </w:rPr>
      </w:pPr>
    </w:p>
    <w:p w14:paraId="76FF51DC" w14:textId="77777777" w:rsidR="002B65EC" w:rsidRDefault="002B65EC" w:rsidP="002B65EC">
      <w:pPr>
        <w:spacing w:line="276" w:lineRule="auto"/>
        <w:jc w:val="both"/>
        <w:rPr>
          <w:rFonts w:ascii="Arial Narrow" w:hAnsi="Arial Narrow"/>
        </w:rPr>
      </w:pPr>
    </w:p>
    <w:p w14:paraId="3BF458E9" w14:textId="77777777" w:rsidR="002B65EC" w:rsidRDefault="002B65EC" w:rsidP="002B65EC">
      <w:pPr>
        <w:spacing w:line="276" w:lineRule="auto"/>
        <w:jc w:val="both"/>
        <w:rPr>
          <w:rFonts w:ascii="Arial Narrow" w:hAnsi="Arial Narrow"/>
        </w:rPr>
      </w:pPr>
    </w:p>
    <w:tbl>
      <w:tblPr>
        <w:tblW w:w="0" w:type="auto"/>
        <w:tblLook w:val="04A0" w:firstRow="1" w:lastRow="0" w:firstColumn="1" w:lastColumn="0" w:noHBand="0" w:noVBand="1"/>
      </w:tblPr>
      <w:tblGrid>
        <w:gridCol w:w="4535"/>
        <w:gridCol w:w="4536"/>
      </w:tblGrid>
      <w:tr w:rsidR="002B65EC" w14:paraId="30BD242D" w14:textId="77777777" w:rsidTr="002B65EC">
        <w:tc>
          <w:tcPr>
            <w:tcW w:w="4605" w:type="dxa"/>
            <w:vAlign w:val="center"/>
            <w:hideMark/>
          </w:tcPr>
          <w:p w14:paraId="2803C361" w14:textId="77777777" w:rsidR="002B65EC" w:rsidRDefault="002B65EC">
            <w:pPr>
              <w:spacing w:line="276" w:lineRule="auto"/>
              <w:jc w:val="center"/>
              <w:rPr>
                <w:rFonts w:ascii="Arial Narrow" w:hAnsi="Arial Narrow"/>
              </w:rPr>
            </w:pPr>
            <w:r>
              <w:rPr>
                <w:rFonts w:ascii="Arial Narrow" w:hAnsi="Arial Narrow" w:cs="Arial"/>
                <w:b/>
              </w:rPr>
              <w:t>NELCI FÁTIMA TRENTO BORTOLINI</w:t>
            </w:r>
          </w:p>
        </w:tc>
        <w:tc>
          <w:tcPr>
            <w:tcW w:w="4606" w:type="dxa"/>
            <w:vAlign w:val="center"/>
            <w:hideMark/>
          </w:tcPr>
          <w:p w14:paraId="336B26D2" w14:textId="26ABC561" w:rsidR="002B65EC" w:rsidRDefault="002242AC">
            <w:pPr>
              <w:spacing w:line="276" w:lineRule="auto"/>
              <w:jc w:val="center"/>
              <w:rPr>
                <w:rFonts w:ascii="Arial Narrow" w:hAnsi="Arial Narrow"/>
                <w:b/>
                <w:bCs/>
              </w:rPr>
            </w:pPr>
            <w:r w:rsidRPr="002242AC">
              <w:rPr>
                <w:rFonts w:ascii="Arial Narrow" w:hAnsi="Arial Narrow"/>
                <w:b/>
                <w:bCs/>
              </w:rPr>
              <w:t>GLAUCO HENRIQUE DA CRUZ</w:t>
            </w:r>
          </w:p>
        </w:tc>
      </w:tr>
      <w:tr w:rsidR="002B65EC" w14:paraId="44448F32" w14:textId="77777777" w:rsidTr="002B65EC">
        <w:tc>
          <w:tcPr>
            <w:tcW w:w="4605" w:type="dxa"/>
            <w:vAlign w:val="center"/>
            <w:hideMark/>
          </w:tcPr>
          <w:p w14:paraId="63219CAD" w14:textId="77777777" w:rsidR="002B65EC" w:rsidRDefault="002B65EC">
            <w:pPr>
              <w:spacing w:line="276" w:lineRule="auto"/>
              <w:jc w:val="center"/>
              <w:rPr>
                <w:rFonts w:ascii="Arial Narrow" w:hAnsi="Arial Narrow"/>
              </w:rPr>
            </w:pPr>
            <w:r>
              <w:rPr>
                <w:rFonts w:ascii="Arial Narrow" w:hAnsi="Arial Narrow" w:cs="Arial"/>
              </w:rPr>
              <w:t>Prefeita Municipal</w:t>
            </w:r>
          </w:p>
        </w:tc>
        <w:tc>
          <w:tcPr>
            <w:tcW w:w="4606" w:type="dxa"/>
            <w:vAlign w:val="center"/>
            <w:hideMark/>
          </w:tcPr>
          <w:p w14:paraId="1B8479E2" w14:textId="7303A517" w:rsidR="002B65EC" w:rsidRDefault="002242AC">
            <w:pPr>
              <w:spacing w:line="276" w:lineRule="auto"/>
              <w:jc w:val="center"/>
              <w:rPr>
                <w:rFonts w:ascii="Arial Narrow" w:hAnsi="Arial Narrow"/>
              </w:rPr>
            </w:pPr>
            <w:proofErr w:type="spellStart"/>
            <w:r w:rsidRPr="002242AC">
              <w:rPr>
                <w:rFonts w:ascii="Arial Narrow" w:hAnsi="Arial Narrow"/>
              </w:rPr>
              <w:t>Logmov</w:t>
            </w:r>
            <w:proofErr w:type="spellEnd"/>
            <w:r w:rsidRPr="002242AC">
              <w:rPr>
                <w:rFonts w:ascii="Arial Narrow" w:hAnsi="Arial Narrow"/>
              </w:rPr>
              <w:t xml:space="preserve"> Soluções Ltda</w:t>
            </w:r>
          </w:p>
        </w:tc>
      </w:tr>
      <w:tr w:rsidR="002B65EC" w14:paraId="0BEB83D0" w14:textId="77777777" w:rsidTr="002B65EC">
        <w:tc>
          <w:tcPr>
            <w:tcW w:w="4605" w:type="dxa"/>
            <w:vAlign w:val="center"/>
            <w:hideMark/>
          </w:tcPr>
          <w:p w14:paraId="15363E91" w14:textId="77777777" w:rsidR="002B65EC" w:rsidRDefault="002B65EC">
            <w:pPr>
              <w:spacing w:line="276" w:lineRule="auto"/>
              <w:jc w:val="center"/>
              <w:rPr>
                <w:rFonts w:ascii="Arial Narrow" w:hAnsi="Arial Narrow"/>
              </w:rPr>
            </w:pPr>
            <w:r>
              <w:rPr>
                <w:rFonts w:ascii="Arial Narrow" w:hAnsi="Arial Narrow"/>
                <w:bCs/>
              </w:rPr>
              <w:t>Contratante</w:t>
            </w:r>
          </w:p>
        </w:tc>
        <w:tc>
          <w:tcPr>
            <w:tcW w:w="4606" w:type="dxa"/>
            <w:vAlign w:val="center"/>
            <w:hideMark/>
          </w:tcPr>
          <w:p w14:paraId="5D0B0C80" w14:textId="77777777" w:rsidR="002B65EC" w:rsidRDefault="002B65EC">
            <w:pPr>
              <w:spacing w:line="276" w:lineRule="auto"/>
              <w:jc w:val="center"/>
              <w:rPr>
                <w:rFonts w:ascii="Arial Narrow" w:hAnsi="Arial Narrow"/>
              </w:rPr>
            </w:pPr>
            <w:r>
              <w:rPr>
                <w:rFonts w:ascii="Arial Narrow" w:hAnsi="Arial Narrow"/>
                <w:bCs/>
              </w:rPr>
              <w:t>Contratada</w:t>
            </w:r>
          </w:p>
        </w:tc>
      </w:tr>
    </w:tbl>
    <w:p w14:paraId="652C78F5" w14:textId="77777777" w:rsidR="002B65EC" w:rsidRDefault="002B65EC" w:rsidP="002B65EC">
      <w:pPr>
        <w:spacing w:line="276" w:lineRule="auto"/>
        <w:jc w:val="both"/>
        <w:rPr>
          <w:rFonts w:ascii="Arial Narrow" w:hAnsi="Arial Narrow"/>
        </w:rPr>
      </w:pPr>
    </w:p>
    <w:p w14:paraId="76294A42" w14:textId="77777777" w:rsidR="002B65EC" w:rsidRDefault="002B65EC" w:rsidP="002B65EC">
      <w:pPr>
        <w:spacing w:line="276" w:lineRule="auto"/>
        <w:jc w:val="both"/>
        <w:rPr>
          <w:rFonts w:ascii="Arial Narrow" w:hAnsi="Arial Narrow"/>
        </w:rPr>
      </w:pPr>
    </w:p>
    <w:p w14:paraId="2912BE77" w14:textId="77777777" w:rsidR="002B65EC" w:rsidRDefault="002B65EC" w:rsidP="002B65EC">
      <w:pPr>
        <w:spacing w:line="276"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4F2191B4" w14:textId="77777777" w:rsidR="002B65EC" w:rsidRDefault="002B65EC" w:rsidP="002B65EC">
      <w:pPr>
        <w:spacing w:line="276" w:lineRule="auto"/>
        <w:rPr>
          <w:rFonts w:ascii="Arial Narrow" w:hAnsi="Arial Narrow"/>
          <w:color w:val="FF0000"/>
        </w:rPr>
      </w:pPr>
    </w:p>
    <w:p w14:paraId="55DF8240" w14:textId="77777777" w:rsidR="002B65EC" w:rsidRDefault="002B65EC" w:rsidP="002B65EC">
      <w:pPr>
        <w:spacing w:line="276" w:lineRule="auto"/>
        <w:jc w:val="both"/>
        <w:rPr>
          <w:rFonts w:ascii="Arial Narrow" w:hAnsi="Arial Narrow"/>
          <w:color w:val="FF0000"/>
        </w:rPr>
      </w:pPr>
    </w:p>
    <w:p w14:paraId="7A94C59C" w14:textId="77777777" w:rsidR="002B65EC" w:rsidRDefault="002B65EC" w:rsidP="002B65EC">
      <w:pPr>
        <w:spacing w:line="276" w:lineRule="auto"/>
        <w:jc w:val="both"/>
        <w:rPr>
          <w:rFonts w:ascii="Arial Narrow" w:hAnsi="Arial Narrow"/>
          <w:color w:val="FF0000"/>
        </w:rPr>
      </w:pPr>
    </w:p>
    <w:p w14:paraId="386DF53F" w14:textId="77777777" w:rsidR="002B65EC" w:rsidRDefault="002B65EC" w:rsidP="002B65EC">
      <w:pPr>
        <w:spacing w:line="276" w:lineRule="auto"/>
        <w:jc w:val="both"/>
        <w:rPr>
          <w:rFonts w:ascii="Arial Narrow" w:hAnsi="Arial Narrow"/>
          <w:color w:val="FF0000"/>
        </w:rPr>
      </w:pPr>
    </w:p>
    <w:p w14:paraId="6D664A3A" w14:textId="77777777" w:rsidR="002B65EC" w:rsidRDefault="002B65EC" w:rsidP="002B65EC">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083A72D5" w14:textId="77777777" w:rsidR="002B65EC" w:rsidRDefault="002B65EC" w:rsidP="002B65EC">
      <w:pPr>
        <w:autoSpaceDE w:val="0"/>
        <w:autoSpaceDN w:val="0"/>
        <w:adjustRightInd w:val="0"/>
        <w:spacing w:line="276" w:lineRule="auto"/>
        <w:jc w:val="center"/>
        <w:rPr>
          <w:rFonts w:ascii="Arial Narrow" w:hAnsi="Arial Narrow" w:cs="Arial"/>
          <w:b/>
        </w:rPr>
      </w:pPr>
      <w:r>
        <w:rPr>
          <w:rFonts w:ascii="Arial Narrow" w:hAnsi="Arial Narrow" w:cs="Arial"/>
          <w:b/>
        </w:rPr>
        <w:t>JÉSSICA ROMEIRO MOTA</w:t>
      </w:r>
    </w:p>
    <w:p w14:paraId="45540E40" w14:textId="77777777" w:rsidR="002B65EC" w:rsidRDefault="002B65EC" w:rsidP="002B65EC">
      <w:pPr>
        <w:autoSpaceDE w:val="0"/>
        <w:autoSpaceDN w:val="0"/>
        <w:adjustRightInd w:val="0"/>
        <w:spacing w:line="276" w:lineRule="auto"/>
        <w:jc w:val="center"/>
      </w:pPr>
      <w:r>
        <w:rPr>
          <w:rFonts w:ascii="Arial Narrow" w:hAnsi="Arial Narrow" w:cs="Arial"/>
        </w:rPr>
        <w:t>OAB/SC 24.746</w:t>
      </w:r>
    </w:p>
    <w:p w14:paraId="4CA22EAB" w14:textId="77777777" w:rsidR="002B65EC" w:rsidRPr="00A96927" w:rsidRDefault="002B65EC" w:rsidP="002B65EC"/>
    <w:sectPr w:rsidR="002B65EC"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3EB65CF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5AAF"/>
    <w:rsid w:val="00101D88"/>
    <w:rsid w:val="001171FA"/>
    <w:rsid w:val="00145D56"/>
    <w:rsid w:val="00150C83"/>
    <w:rsid w:val="00174069"/>
    <w:rsid w:val="00207693"/>
    <w:rsid w:val="002242AC"/>
    <w:rsid w:val="00261BED"/>
    <w:rsid w:val="00264A53"/>
    <w:rsid w:val="00270561"/>
    <w:rsid w:val="00274258"/>
    <w:rsid w:val="00290FF1"/>
    <w:rsid w:val="002925CF"/>
    <w:rsid w:val="00297165"/>
    <w:rsid w:val="002B4271"/>
    <w:rsid w:val="002B65EC"/>
    <w:rsid w:val="002C1759"/>
    <w:rsid w:val="002C203D"/>
    <w:rsid w:val="002C6775"/>
    <w:rsid w:val="002F3A58"/>
    <w:rsid w:val="003013E9"/>
    <w:rsid w:val="003268F5"/>
    <w:rsid w:val="00333CE2"/>
    <w:rsid w:val="00337701"/>
    <w:rsid w:val="003C6277"/>
    <w:rsid w:val="00405359"/>
    <w:rsid w:val="00407C1A"/>
    <w:rsid w:val="00423E38"/>
    <w:rsid w:val="004525BA"/>
    <w:rsid w:val="004A6C72"/>
    <w:rsid w:val="00504267"/>
    <w:rsid w:val="00552D89"/>
    <w:rsid w:val="00555CD5"/>
    <w:rsid w:val="00557C0C"/>
    <w:rsid w:val="005805AE"/>
    <w:rsid w:val="00580D4D"/>
    <w:rsid w:val="005A4D90"/>
    <w:rsid w:val="005A68D0"/>
    <w:rsid w:val="005B7382"/>
    <w:rsid w:val="005C54BD"/>
    <w:rsid w:val="005E30B0"/>
    <w:rsid w:val="005F3673"/>
    <w:rsid w:val="005F7906"/>
    <w:rsid w:val="006047C6"/>
    <w:rsid w:val="0062212B"/>
    <w:rsid w:val="00696B3F"/>
    <w:rsid w:val="006F02FF"/>
    <w:rsid w:val="00726CD4"/>
    <w:rsid w:val="00733CDE"/>
    <w:rsid w:val="00746DF7"/>
    <w:rsid w:val="00752F5B"/>
    <w:rsid w:val="00756C53"/>
    <w:rsid w:val="00760BC4"/>
    <w:rsid w:val="00766844"/>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015A"/>
    <w:rsid w:val="00A843D3"/>
    <w:rsid w:val="00A952F4"/>
    <w:rsid w:val="00A96927"/>
    <w:rsid w:val="00AB5A0D"/>
    <w:rsid w:val="00AF344C"/>
    <w:rsid w:val="00B37A24"/>
    <w:rsid w:val="00B64976"/>
    <w:rsid w:val="00BA74F8"/>
    <w:rsid w:val="00BD0E33"/>
    <w:rsid w:val="00BD4B4D"/>
    <w:rsid w:val="00BD67A9"/>
    <w:rsid w:val="00C066C7"/>
    <w:rsid w:val="00C64593"/>
    <w:rsid w:val="00CA0D11"/>
    <w:rsid w:val="00CA1A6D"/>
    <w:rsid w:val="00D3081F"/>
    <w:rsid w:val="00D60366"/>
    <w:rsid w:val="00D60584"/>
    <w:rsid w:val="00D75249"/>
    <w:rsid w:val="00D87C99"/>
    <w:rsid w:val="00D92C99"/>
    <w:rsid w:val="00DF18F4"/>
    <w:rsid w:val="00E0194C"/>
    <w:rsid w:val="00E569BD"/>
    <w:rsid w:val="00E809F1"/>
    <w:rsid w:val="00E85C9E"/>
    <w:rsid w:val="00E85E74"/>
    <w:rsid w:val="00EA25B1"/>
    <w:rsid w:val="00EB68D0"/>
    <w:rsid w:val="00EB698E"/>
    <w:rsid w:val="00EB6CD2"/>
    <w:rsid w:val="00EE1800"/>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2B65EC"/>
    <w:rPr>
      <w:rFonts w:ascii="Arial MT" w:eastAsia="Arial MT" w:hAnsi="Arial MT" w:cs="Arial MT"/>
      <w:lang w:val="pt-PT"/>
    </w:rPr>
  </w:style>
  <w:style w:type="paragraph" w:styleId="PargrafodaLista">
    <w:name w:val="List Paragraph"/>
    <w:basedOn w:val="Normal"/>
    <w:link w:val="PargrafodaListaChar"/>
    <w:uiPriority w:val="34"/>
    <w:qFormat/>
    <w:rsid w:val="002B65EC"/>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2B65EC"/>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qFormat/>
    <w:rsid w:val="002B65EC"/>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68555">
      <w:bodyDiv w:val="1"/>
      <w:marLeft w:val="0"/>
      <w:marRight w:val="0"/>
      <w:marTop w:val="0"/>
      <w:marBottom w:val="0"/>
      <w:divBdr>
        <w:top w:val="none" w:sz="0" w:space="0" w:color="auto"/>
        <w:left w:val="none" w:sz="0" w:space="0" w:color="auto"/>
        <w:bottom w:val="none" w:sz="0" w:space="0" w:color="auto"/>
        <w:right w:val="none" w:sz="0" w:space="0" w:color="auto"/>
      </w:divBdr>
    </w:div>
    <w:div w:id="210988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4439</Words>
  <Characters>24274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28656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6</cp:revision>
  <cp:lastPrinted>2024-09-10T18:43:00Z</cp:lastPrinted>
  <dcterms:created xsi:type="dcterms:W3CDTF">2024-09-10T18:29:00Z</dcterms:created>
  <dcterms:modified xsi:type="dcterms:W3CDTF">2024-09-10T18:43:00Z</dcterms:modified>
</cp:coreProperties>
</file>