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E936" w14:textId="790B1963" w:rsidR="00BC64CD" w:rsidRDefault="00BC64CD" w:rsidP="00BC64CD">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 77/2024</w:t>
      </w:r>
    </w:p>
    <w:p w14:paraId="41DE812D" w14:textId="77777777" w:rsidR="00BC64CD" w:rsidRDefault="00BC64CD" w:rsidP="00BC64CD">
      <w:pPr>
        <w:pStyle w:val="Corpodetexto"/>
        <w:ind w:left="142" w:right="120"/>
        <w:jc w:val="center"/>
        <w:rPr>
          <w:rFonts w:ascii="Arial Narrow" w:hAnsi="Arial Narrow" w:cs="Arial MT"/>
          <w:b/>
          <w:bCs/>
        </w:rPr>
      </w:pPr>
    </w:p>
    <w:p w14:paraId="100E7CE8" w14:textId="77777777" w:rsidR="00BC64CD" w:rsidRDefault="00BC64CD" w:rsidP="00BC64CD">
      <w:pPr>
        <w:pStyle w:val="Corpodetexto"/>
        <w:ind w:left="142" w:right="120"/>
        <w:jc w:val="center"/>
        <w:rPr>
          <w:rFonts w:ascii="Arial Narrow" w:hAnsi="Arial Narrow"/>
          <w:b/>
          <w:bCs/>
        </w:rPr>
      </w:pPr>
    </w:p>
    <w:p w14:paraId="16DA96CB" w14:textId="65762FC9" w:rsidR="00BC64CD" w:rsidRDefault="00BC64CD" w:rsidP="00F94AB1">
      <w:pPr>
        <w:pStyle w:val="Corpodetexto"/>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com sede à Praça João Macagnan, 322, centro, Água Doce (SC), 89.654-000 , inscrito no CNPJ sob nº 82.939.398/0001-90, neste ato representada pel</w:t>
      </w:r>
      <w:r w:rsidR="00F94AB1">
        <w:rPr>
          <w:rFonts w:ascii="Arial Narrow" w:hAnsi="Arial Narrow" w:cs="Arial"/>
        </w:rPr>
        <w:t>a</w:t>
      </w:r>
      <w:r>
        <w:rPr>
          <w:rFonts w:ascii="Arial Narrow" w:hAnsi="Arial Narrow" w:cs="Arial"/>
        </w:rPr>
        <w:t xml:space="preserve"> Prefeit</w:t>
      </w:r>
      <w:r w:rsidR="00F94AB1">
        <w:rPr>
          <w:rFonts w:ascii="Arial Narrow" w:hAnsi="Arial Narrow" w:cs="Arial"/>
        </w:rPr>
        <w:t>a</w:t>
      </w:r>
      <w:r>
        <w:rPr>
          <w:rFonts w:ascii="Arial Narrow" w:hAnsi="Arial Narrow" w:cs="Arial"/>
        </w:rPr>
        <w:t xml:space="preserve"> Municipal Sr</w:t>
      </w:r>
      <w:r w:rsidR="00F94AB1">
        <w:rPr>
          <w:rFonts w:ascii="Arial Narrow" w:hAnsi="Arial Narrow" w:cs="Arial"/>
        </w:rPr>
        <w:t>a</w:t>
      </w:r>
      <w:r>
        <w:rPr>
          <w:rFonts w:ascii="Arial Narrow" w:hAnsi="Arial Narrow" w:cs="Arial"/>
        </w:rPr>
        <w:t xml:space="preserve">. </w:t>
      </w:r>
      <w:r w:rsidR="00F94AB1">
        <w:rPr>
          <w:rFonts w:ascii="Arial Narrow" w:hAnsi="Arial Narrow" w:cs="Arial"/>
        </w:rPr>
        <w:t>Nelci Fátima Trento Bortolini</w:t>
      </w:r>
      <w:r>
        <w:rPr>
          <w:rFonts w:ascii="Arial Narrow" w:hAnsi="Arial Narrow" w:cs="Arial"/>
        </w:rPr>
        <w:t xml:space="preserve"> </w:t>
      </w:r>
      <w:r>
        <w:rPr>
          <w:rFonts w:ascii="Arial Narrow" w:hAnsi="Arial Narrow"/>
        </w:rPr>
        <w:t xml:space="preserve">considerando o julgamento do Pregão Eletrônico n. 46/2024/PMAD – Processo Licitatório n. 167/2024/PMAD, RESOLVE registrar os preços da Empresa </w:t>
      </w:r>
      <w:r w:rsidR="002B77AF" w:rsidRPr="002B77AF">
        <w:rPr>
          <w:rFonts w:ascii="Arial Narrow" w:hAnsi="Arial Narrow"/>
          <w:b/>
          <w:bCs/>
        </w:rPr>
        <w:t xml:space="preserve">CONCRETOS </w:t>
      </w:r>
      <w:r w:rsidR="002B77AF">
        <w:rPr>
          <w:rFonts w:ascii="Arial Narrow" w:hAnsi="Arial Narrow"/>
          <w:b/>
          <w:bCs/>
        </w:rPr>
        <w:t>Á</w:t>
      </w:r>
      <w:r w:rsidR="002B77AF" w:rsidRPr="002B77AF">
        <w:rPr>
          <w:rFonts w:ascii="Arial Narrow" w:hAnsi="Arial Narrow"/>
          <w:b/>
          <w:bCs/>
        </w:rPr>
        <w:t>GUA DOCE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2B77AF" w:rsidRPr="002B77AF">
        <w:rPr>
          <w:rFonts w:ascii="Arial Narrow" w:hAnsi="Arial Narrow"/>
        </w:rPr>
        <w:t>00.334.470/0001-91</w:t>
      </w:r>
      <w:r>
        <w:rPr>
          <w:rFonts w:ascii="Arial Narrow" w:hAnsi="Arial Narrow"/>
        </w:rPr>
        <w:t xml:space="preserve"> estabelecida na </w:t>
      </w:r>
      <w:r w:rsidR="002B77AF" w:rsidRPr="002B77AF">
        <w:rPr>
          <w:rFonts w:ascii="Arial Narrow" w:hAnsi="Arial Narrow"/>
        </w:rPr>
        <w:t>Av</w:t>
      </w:r>
      <w:r w:rsidR="002B77AF">
        <w:rPr>
          <w:rFonts w:ascii="Arial Narrow" w:hAnsi="Arial Narrow"/>
        </w:rPr>
        <w:t xml:space="preserve">. </w:t>
      </w:r>
      <w:r w:rsidR="002B77AF" w:rsidRPr="002B77AF">
        <w:rPr>
          <w:rFonts w:ascii="Arial Narrow" w:hAnsi="Arial Narrow"/>
        </w:rPr>
        <w:t>Independência</w:t>
      </w:r>
      <w:r w:rsidR="002B77AF">
        <w:rPr>
          <w:rFonts w:ascii="Arial Narrow" w:hAnsi="Arial Narrow"/>
        </w:rPr>
        <w:t>, n. 1832</w:t>
      </w:r>
      <w:r>
        <w:rPr>
          <w:rFonts w:ascii="Arial Narrow" w:hAnsi="Arial Narrow"/>
        </w:rPr>
        <w:t xml:space="preserve">, Bairro </w:t>
      </w:r>
      <w:r w:rsidR="002B77AF">
        <w:rPr>
          <w:rFonts w:ascii="Arial Narrow" w:hAnsi="Arial Narrow"/>
        </w:rPr>
        <w:t>Centro</w:t>
      </w:r>
      <w:r>
        <w:rPr>
          <w:rFonts w:ascii="Arial Narrow" w:hAnsi="Arial Narrow"/>
        </w:rPr>
        <w:t xml:space="preserve">, no Município de </w:t>
      </w:r>
      <w:r w:rsidR="002B77AF">
        <w:rPr>
          <w:rFonts w:ascii="Arial Narrow" w:hAnsi="Arial Narrow"/>
        </w:rPr>
        <w:t>Água Doce/SC</w:t>
      </w:r>
      <w:r>
        <w:rPr>
          <w:rFonts w:ascii="Arial Narrow" w:hAnsi="Arial Narrow"/>
        </w:rPr>
        <w:t xml:space="preserve">, neste ato representada pelo Sr. </w:t>
      </w:r>
      <w:r w:rsidR="002B77AF" w:rsidRPr="002B77AF">
        <w:rPr>
          <w:rFonts w:ascii="Arial Narrow" w:hAnsi="Arial Narrow"/>
        </w:rPr>
        <w:t>JOSUÉ ITALO LUCHESE PIAIA</w:t>
      </w:r>
      <w:r>
        <w:rPr>
          <w:rFonts w:ascii="Arial Narrow" w:hAnsi="Arial Narrow"/>
        </w:rPr>
        <w:t xml:space="preserve">, inscrito(a) no CPF sob o nº </w:t>
      </w:r>
      <w:r w:rsidR="002B77AF" w:rsidRPr="002B77AF">
        <w:rPr>
          <w:rFonts w:ascii="Arial Narrow" w:hAnsi="Arial Narrow"/>
        </w:rPr>
        <w:t>055.477.549-27</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5AD79A4C" w14:textId="77777777" w:rsidR="00BC64CD" w:rsidRDefault="00BC64CD" w:rsidP="00BC64CD">
      <w:pPr>
        <w:pStyle w:val="Corpodetexto"/>
        <w:ind w:left="142" w:right="120"/>
        <w:jc w:val="both"/>
        <w:rPr>
          <w:rFonts w:ascii="Arial Narrow" w:hAnsi="Arial Narrow"/>
          <w:sz w:val="16"/>
        </w:rPr>
      </w:pPr>
    </w:p>
    <w:p w14:paraId="1C474A6D"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75FEF1E4" w14:textId="77777777" w:rsidR="00BC64CD" w:rsidRDefault="00BC64CD" w:rsidP="00BC64CD">
      <w:pPr>
        <w:pStyle w:val="Corpodetexto"/>
        <w:ind w:left="567" w:right="120" w:hanging="425"/>
        <w:jc w:val="both"/>
        <w:rPr>
          <w:rFonts w:ascii="Arial Narrow" w:hAnsi="Arial Narrow"/>
          <w:sz w:val="16"/>
        </w:rPr>
      </w:pPr>
    </w:p>
    <w:p w14:paraId="50929DCE"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Registro de Preços para futura e eventual aquisição de artefatos de cimento, no período de até 12 (doze) meses.</w:t>
      </w:r>
    </w:p>
    <w:p w14:paraId="23BCC9EB" w14:textId="77777777" w:rsidR="00BC64CD" w:rsidRDefault="00BC64CD" w:rsidP="00BC64CD">
      <w:pPr>
        <w:pStyle w:val="Corpodetexto"/>
        <w:ind w:left="567" w:right="120"/>
        <w:jc w:val="both"/>
        <w:rPr>
          <w:rFonts w:ascii="Arial Narrow" w:hAnsi="Arial Narrow"/>
          <w:b/>
          <w:bCs/>
          <w:sz w:val="16"/>
        </w:rPr>
      </w:pPr>
    </w:p>
    <w:p w14:paraId="1C9B0D4C"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0359D6AF" w14:textId="77777777" w:rsidR="00BC64CD" w:rsidRDefault="00BC64CD" w:rsidP="00BC64CD">
      <w:pPr>
        <w:pStyle w:val="Corpodetexto"/>
        <w:ind w:left="567" w:right="120" w:hanging="425"/>
        <w:jc w:val="both"/>
        <w:rPr>
          <w:rFonts w:ascii="Arial Narrow" w:hAnsi="Arial Narrow"/>
          <w:b/>
          <w:bCs/>
          <w:sz w:val="16"/>
        </w:rPr>
      </w:pPr>
    </w:p>
    <w:p w14:paraId="288DA249"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Não há possibilidade de subcontratação de partes do contrato.</w:t>
      </w:r>
    </w:p>
    <w:p w14:paraId="5C979286" w14:textId="77777777" w:rsidR="00BC64CD" w:rsidRDefault="00BC64CD" w:rsidP="00BC64CD">
      <w:pPr>
        <w:pStyle w:val="Corpodetexto"/>
        <w:ind w:left="679"/>
        <w:jc w:val="both"/>
        <w:rPr>
          <w:rFonts w:ascii="Arial Narrow" w:hAnsi="Arial Narrow" w:cs="Arial"/>
          <w:sz w:val="16"/>
        </w:rPr>
      </w:pPr>
    </w:p>
    <w:p w14:paraId="3DDD0DE0"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646A1321" w14:textId="77777777" w:rsidR="00BC64CD" w:rsidRDefault="00BC64CD" w:rsidP="00BC64CD">
      <w:pPr>
        <w:pStyle w:val="PargrafodaLista"/>
        <w:rPr>
          <w:rFonts w:ascii="Arial Narrow" w:hAnsi="Arial Narrow" w:cs="Arial"/>
          <w:sz w:val="18"/>
        </w:rPr>
      </w:pPr>
    </w:p>
    <w:p w14:paraId="546CC123"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6B3A47FC" w14:textId="77777777" w:rsidR="00BC64CD" w:rsidRDefault="00BC64CD" w:rsidP="00BC64CD">
      <w:pPr>
        <w:pStyle w:val="PargrafodaLista"/>
        <w:rPr>
          <w:rFonts w:ascii="Arial Narrow" w:hAnsi="Arial Narrow"/>
          <w:bCs/>
          <w:sz w:val="18"/>
        </w:rPr>
      </w:pPr>
    </w:p>
    <w:p w14:paraId="35E87A72"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bCs/>
        </w:rPr>
        <w:t>Entrega com prazo de até 10 dias uteis após a emissão da Solicitação de Fornecimento.</w:t>
      </w:r>
    </w:p>
    <w:p w14:paraId="32AE3078" w14:textId="77777777" w:rsidR="00BC64CD" w:rsidRDefault="00BC64CD" w:rsidP="00BC64CD">
      <w:pPr>
        <w:pStyle w:val="Corpodetexto"/>
        <w:jc w:val="both"/>
        <w:rPr>
          <w:rFonts w:ascii="Arial Narrow" w:hAnsi="Arial Narrow" w:cs="Arial"/>
        </w:rPr>
      </w:pPr>
    </w:p>
    <w:p w14:paraId="5F864941"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3DB51E67" w14:textId="77777777" w:rsidR="00BC64CD" w:rsidRDefault="00BC64CD" w:rsidP="00BC64CD">
      <w:pPr>
        <w:pStyle w:val="Corpodetexto"/>
        <w:ind w:left="502" w:right="120"/>
        <w:jc w:val="both"/>
        <w:rPr>
          <w:rFonts w:ascii="Arial Narrow" w:hAnsi="Arial Narrow"/>
          <w:b/>
          <w:bCs/>
        </w:rPr>
      </w:pPr>
    </w:p>
    <w:p w14:paraId="685C1C73"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30BC491C" w14:textId="77777777" w:rsidR="00BC64CD" w:rsidRDefault="00BC64CD" w:rsidP="00BC64CD">
      <w:pPr>
        <w:pStyle w:val="Corpodetexto"/>
        <w:ind w:left="502" w:right="120"/>
        <w:jc w:val="both"/>
        <w:rPr>
          <w:rFonts w:ascii="Arial Narrow" w:hAnsi="Arial Narrow"/>
          <w:b/>
          <w:bCs/>
        </w:rPr>
      </w:pPr>
    </w:p>
    <w:p w14:paraId="424D8F23"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347914FF" w14:textId="77777777" w:rsidR="00BC64CD" w:rsidRDefault="00BC64CD" w:rsidP="00BC64CD">
      <w:pPr>
        <w:pStyle w:val="PargrafodaLista"/>
        <w:rPr>
          <w:rFonts w:ascii="Arial Narrow" w:hAnsi="Arial Narrow"/>
          <w:b/>
          <w:bCs/>
        </w:rPr>
      </w:pPr>
    </w:p>
    <w:p w14:paraId="242747F7" w14:textId="7ADFEE66"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F94AB1">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w:t>
      </w:r>
      <w:r>
        <w:rPr>
          <w:rFonts w:ascii="Arial Narrow" w:hAnsi="Arial Narrow" w:cs="Arial"/>
        </w:rPr>
        <w:lastRenderedPageBreak/>
        <w:t>prazo.</w:t>
      </w:r>
    </w:p>
    <w:p w14:paraId="12009398" w14:textId="77777777" w:rsidR="00BC64CD" w:rsidRDefault="00BC64CD" w:rsidP="00BC64CD">
      <w:pPr>
        <w:pStyle w:val="PargrafodaLista"/>
        <w:rPr>
          <w:rFonts w:ascii="Arial Narrow" w:hAnsi="Arial Narrow"/>
          <w:b/>
          <w:bCs/>
        </w:rPr>
      </w:pPr>
    </w:p>
    <w:p w14:paraId="3B2ADEEC"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76B6E01E" w14:textId="77777777" w:rsidR="00BC64CD" w:rsidRDefault="00BC64CD" w:rsidP="00BC64CD">
      <w:pPr>
        <w:pStyle w:val="Corpodetexto"/>
        <w:ind w:left="502" w:right="120"/>
        <w:jc w:val="both"/>
        <w:rPr>
          <w:rFonts w:ascii="Arial Narrow" w:hAnsi="Arial Narrow"/>
          <w:b/>
          <w:bCs/>
        </w:rPr>
      </w:pPr>
    </w:p>
    <w:p w14:paraId="60C0DDAD"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62051C93" w14:textId="77777777" w:rsidR="00BC64CD" w:rsidRDefault="00BC64CD" w:rsidP="00BC64CD">
      <w:pPr>
        <w:pStyle w:val="Corpodetex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BC64CD" w:rsidRPr="000452E6" w14:paraId="715DACDB" w14:textId="77777777" w:rsidTr="000452E6">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9260E5D" w14:textId="77777777" w:rsidR="00BC64CD" w:rsidRPr="000452E6" w:rsidRDefault="00BC64CD">
            <w:pPr>
              <w:pStyle w:val="TableParagraph"/>
              <w:ind w:left="89" w:right="79"/>
              <w:jc w:val="center"/>
              <w:rPr>
                <w:rFonts w:ascii="Arial Narrow" w:hAnsi="Arial Narrow" w:cs="Arial"/>
                <w:b/>
                <w:sz w:val="18"/>
                <w:szCs w:val="18"/>
              </w:rPr>
            </w:pPr>
            <w:r w:rsidRPr="000452E6">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401F341" w14:textId="77777777" w:rsidR="00BC64CD" w:rsidRPr="000452E6" w:rsidRDefault="00BC64CD">
            <w:pPr>
              <w:pStyle w:val="TableParagraph"/>
              <w:ind w:left="125" w:right="121"/>
              <w:jc w:val="center"/>
              <w:rPr>
                <w:rFonts w:ascii="Arial Narrow" w:hAnsi="Arial Narrow" w:cs="Arial"/>
                <w:b/>
                <w:sz w:val="18"/>
                <w:szCs w:val="18"/>
              </w:rPr>
            </w:pPr>
            <w:r w:rsidRPr="000452E6">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19DDECFE" w14:textId="77777777" w:rsidR="00BC64CD" w:rsidRPr="000452E6" w:rsidRDefault="00BC64CD">
            <w:pPr>
              <w:pStyle w:val="TableParagraph"/>
              <w:ind w:left="122" w:right="111"/>
              <w:jc w:val="center"/>
              <w:rPr>
                <w:rFonts w:ascii="Arial Narrow" w:hAnsi="Arial Narrow" w:cs="Arial"/>
                <w:b/>
                <w:sz w:val="18"/>
                <w:szCs w:val="18"/>
              </w:rPr>
            </w:pPr>
            <w:r w:rsidRPr="000452E6">
              <w:rPr>
                <w:rFonts w:ascii="Arial Narrow" w:hAnsi="Arial Narrow" w:cs="Arial"/>
                <w:b/>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71D980B8" w14:textId="77777777" w:rsidR="00BC64CD" w:rsidRPr="000452E6" w:rsidRDefault="00BC64CD">
            <w:pPr>
              <w:pStyle w:val="TableParagraph"/>
              <w:ind w:left="17"/>
              <w:jc w:val="center"/>
              <w:rPr>
                <w:rFonts w:ascii="Arial Narrow" w:hAnsi="Arial Narrow" w:cs="Arial"/>
                <w:b/>
                <w:sz w:val="18"/>
                <w:szCs w:val="18"/>
              </w:rPr>
            </w:pPr>
            <w:r w:rsidRPr="000452E6">
              <w:rPr>
                <w:rFonts w:ascii="Arial Narrow" w:hAnsi="Arial Narrow" w:cs="Arial"/>
                <w:b/>
                <w:sz w:val="18"/>
                <w:szCs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02C18BE" w14:textId="77777777" w:rsidR="00BC64CD" w:rsidRPr="000452E6" w:rsidRDefault="00BC64CD">
            <w:pPr>
              <w:pStyle w:val="TableParagraph"/>
              <w:ind w:left="153" w:right="146" w:firstLine="5"/>
              <w:jc w:val="center"/>
              <w:rPr>
                <w:rFonts w:ascii="Arial Narrow" w:hAnsi="Arial Narrow" w:cs="Arial"/>
                <w:b/>
                <w:sz w:val="18"/>
                <w:szCs w:val="18"/>
              </w:rPr>
            </w:pPr>
            <w:r w:rsidRPr="000452E6">
              <w:rPr>
                <w:rFonts w:ascii="Arial Narrow" w:hAnsi="Arial Narrow" w:cs="Arial"/>
                <w:b/>
                <w:sz w:val="18"/>
                <w:szCs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BDFB46" w14:textId="77777777" w:rsidR="00BC64CD" w:rsidRPr="000452E6" w:rsidRDefault="00BC64CD">
            <w:pPr>
              <w:pStyle w:val="TableParagraph"/>
              <w:ind w:left="155" w:right="147" w:firstLine="5"/>
              <w:jc w:val="center"/>
              <w:rPr>
                <w:rFonts w:ascii="Arial Narrow" w:hAnsi="Arial Narrow" w:cs="Arial"/>
                <w:b/>
                <w:sz w:val="18"/>
                <w:szCs w:val="18"/>
              </w:rPr>
            </w:pPr>
            <w:r w:rsidRPr="000452E6">
              <w:rPr>
                <w:rFonts w:ascii="Arial Narrow" w:hAnsi="Arial Narrow" w:cs="Arial"/>
                <w:b/>
                <w:sz w:val="18"/>
                <w:szCs w:val="18"/>
              </w:rPr>
              <w:t>VALOR TOTAL (R$)</w:t>
            </w:r>
          </w:p>
        </w:tc>
      </w:tr>
      <w:tr w:rsidR="000452E6" w:rsidRPr="000452E6" w14:paraId="71A41EC0" w14:textId="77777777" w:rsidTr="000452E6">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1BD3449" w14:textId="4A6565BD" w:rsidR="000452E6" w:rsidRPr="000452E6" w:rsidRDefault="000452E6" w:rsidP="000452E6">
            <w:pPr>
              <w:pStyle w:val="TableParagraph"/>
              <w:ind w:left="14"/>
              <w:jc w:val="center"/>
              <w:rPr>
                <w:rFonts w:ascii="Arial Narrow" w:hAnsi="Arial Narrow" w:cs="Arial"/>
                <w:sz w:val="18"/>
                <w:szCs w:val="18"/>
              </w:rPr>
            </w:pPr>
            <w:r>
              <w:rPr>
                <w:rFonts w:ascii="Arial Narrow" w:hAnsi="Arial Narrow" w:cs="Arial"/>
                <w:sz w:val="18"/>
                <w:szCs w:val="18"/>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428BAF8F" w14:textId="6E8DBE36" w:rsidR="000452E6" w:rsidRPr="000452E6" w:rsidRDefault="000452E6" w:rsidP="000452E6">
            <w:pPr>
              <w:pStyle w:val="TableParagraph"/>
              <w:ind w:left="125" w:right="118"/>
              <w:jc w:val="center"/>
              <w:rPr>
                <w:rFonts w:ascii="Arial Narrow" w:hAnsi="Arial Narrow" w:cs="Arial"/>
                <w:sz w:val="18"/>
                <w:szCs w:val="18"/>
              </w:rPr>
            </w:pPr>
            <w:r>
              <w:rPr>
                <w:rFonts w:ascii="Arial Narrow" w:hAnsi="Arial Narrow" w:cs="Arial"/>
                <w:sz w:val="18"/>
                <w:szCs w:val="18"/>
              </w:rPr>
              <w:t>400</w:t>
            </w:r>
          </w:p>
        </w:tc>
        <w:tc>
          <w:tcPr>
            <w:tcW w:w="718" w:type="dxa"/>
            <w:tcBorders>
              <w:top w:val="single" w:sz="4" w:space="0" w:color="000000"/>
              <w:left w:val="single" w:sz="4" w:space="0" w:color="000000"/>
              <w:bottom w:val="single" w:sz="4" w:space="0" w:color="000000"/>
              <w:right w:val="single" w:sz="4" w:space="0" w:color="000000"/>
            </w:tcBorders>
            <w:vAlign w:val="center"/>
          </w:tcPr>
          <w:p w14:paraId="03DACF07" w14:textId="4E0D84E2" w:rsidR="000452E6" w:rsidRPr="000452E6" w:rsidRDefault="000452E6" w:rsidP="000452E6">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7C44FD5B" w14:textId="3C96E075" w:rsidR="000452E6" w:rsidRPr="000452E6" w:rsidRDefault="000452E6" w:rsidP="000452E6">
            <w:pPr>
              <w:pStyle w:val="TableParagraph"/>
              <w:ind w:left="107" w:right="99"/>
              <w:jc w:val="both"/>
              <w:rPr>
                <w:rFonts w:ascii="Arial Narrow" w:hAnsi="Arial Narrow" w:cs="Arial"/>
                <w:sz w:val="18"/>
                <w:szCs w:val="18"/>
              </w:rPr>
            </w:pPr>
            <w:r w:rsidRPr="000452E6">
              <w:rPr>
                <w:rFonts w:ascii="Arial Narrow" w:hAnsi="Arial Narrow" w:cstheme="minorHAnsi"/>
                <w:sz w:val="18"/>
                <w:szCs w:val="18"/>
              </w:rPr>
              <w:t>TUBO DE CONCRETO SIMPLES, CLASSE - PS-1, MACHO/FEMEA, DN 200 MM, PARA ÁGUAS PLUVIAIS (NBR 8890)</w:t>
            </w:r>
          </w:p>
        </w:tc>
        <w:tc>
          <w:tcPr>
            <w:tcW w:w="1561" w:type="dxa"/>
            <w:tcBorders>
              <w:top w:val="single" w:sz="4" w:space="0" w:color="000000"/>
              <w:left w:val="single" w:sz="4" w:space="0" w:color="000000"/>
              <w:bottom w:val="single" w:sz="4" w:space="0" w:color="000000"/>
              <w:right w:val="single" w:sz="4" w:space="0" w:color="000000"/>
            </w:tcBorders>
            <w:vAlign w:val="center"/>
          </w:tcPr>
          <w:p w14:paraId="7DB886A3" w14:textId="1AD5AC8E"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29,94</w:t>
            </w:r>
          </w:p>
        </w:tc>
        <w:tc>
          <w:tcPr>
            <w:tcW w:w="1702" w:type="dxa"/>
            <w:tcBorders>
              <w:top w:val="single" w:sz="4" w:space="0" w:color="000000"/>
              <w:left w:val="single" w:sz="4" w:space="0" w:color="000000"/>
              <w:bottom w:val="single" w:sz="4" w:space="0" w:color="000000"/>
              <w:right w:val="single" w:sz="4" w:space="0" w:color="000000"/>
            </w:tcBorders>
            <w:vAlign w:val="center"/>
          </w:tcPr>
          <w:p w14:paraId="2B1221B6" w14:textId="084E152D"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11.976,00</w:t>
            </w:r>
          </w:p>
        </w:tc>
      </w:tr>
      <w:tr w:rsidR="000452E6" w:rsidRPr="000452E6" w14:paraId="335DF2DF" w14:textId="77777777" w:rsidTr="000452E6">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C597D00" w14:textId="375F96F0" w:rsidR="000452E6" w:rsidRPr="000452E6" w:rsidRDefault="000452E6" w:rsidP="000452E6">
            <w:pPr>
              <w:pStyle w:val="TableParagraph"/>
              <w:ind w:left="14"/>
              <w:jc w:val="center"/>
              <w:rPr>
                <w:rFonts w:ascii="Arial Narrow" w:hAnsi="Arial Narrow" w:cs="Arial"/>
                <w:sz w:val="18"/>
                <w:szCs w:val="18"/>
              </w:rPr>
            </w:pPr>
            <w:r>
              <w:rPr>
                <w:rFonts w:ascii="Arial Narrow" w:hAnsi="Arial Narrow" w:cs="Arial"/>
                <w:sz w:val="18"/>
                <w:szCs w:val="18"/>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101D7040" w14:textId="22E9B477" w:rsidR="000452E6" w:rsidRPr="000452E6" w:rsidRDefault="000452E6" w:rsidP="000452E6">
            <w:pPr>
              <w:pStyle w:val="TableParagraph"/>
              <w:ind w:left="125" w:right="118"/>
              <w:jc w:val="center"/>
              <w:rPr>
                <w:rFonts w:ascii="Arial Narrow" w:hAnsi="Arial Narrow" w:cs="Arial"/>
                <w:sz w:val="18"/>
                <w:szCs w:val="18"/>
              </w:rPr>
            </w:pPr>
            <w:r>
              <w:rPr>
                <w:rFonts w:ascii="Arial Narrow" w:hAnsi="Arial Narrow" w:cs="Arial"/>
                <w:sz w:val="18"/>
                <w:szCs w:val="18"/>
              </w:rPr>
              <w:t>500</w:t>
            </w:r>
          </w:p>
        </w:tc>
        <w:tc>
          <w:tcPr>
            <w:tcW w:w="718" w:type="dxa"/>
            <w:tcBorders>
              <w:top w:val="single" w:sz="4" w:space="0" w:color="000000"/>
              <w:left w:val="single" w:sz="4" w:space="0" w:color="000000"/>
              <w:bottom w:val="single" w:sz="4" w:space="0" w:color="000000"/>
              <w:right w:val="single" w:sz="4" w:space="0" w:color="000000"/>
            </w:tcBorders>
            <w:vAlign w:val="center"/>
          </w:tcPr>
          <w:p w14:paraId="5467F57B" w14:textId="29D4292E" w:rsidR="000452E6" w:rsidRPr="000452E6" w:rsidRDefault="000452E6" w:rsidP="000452E6">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33414C4C" w14:textId="032DADD1" w:rsidR="000452E6" w:rsidRPr="000452E6" w:rsidRDefault="000452E6" w:rsidP="000452E6">
            <w:pPr>
              <w:pStyle w:val="TableParagraph"/>
              <w:ind w:left="107" w:right="99"/>
              <w:jc w:val="both"/>
              <w:rPr>
                <w:rFonts w:ascii="Arial Narrow" w:hAnsi="Arial Narrow" w:cs="Arial"/>
                <w:sz w:val="18"/>
                <w:szCs w:val="18"/>
              </w:rPr>
            </w:pPr>
            <w:r w:rsidRPr="000452E6">
              <w:rPr>
                <w:rFonts w:ascii="Arial Narrow" w:hAnsi="Arial Narrow" w:cstheme="minorHAnsi"/>
                <w:sz w:val="18"/>
                <w:szCs w:val="18"/>
              </w:rPr>
              <w:t>TUBO DE CONCRETO SIMPLES, CLASSE - PS-1, MACHO/FEMEA, DN 300 MM, PARA ÁGUAS PLUVIAIS (NBR 8890)</w:t>
            </w:r>
          </w:p>
        </w:tc>
        <w:tc>
          <w:tcPr>
            <w:tcW w:w="1561" w:type="dxa"/>
            <w:tcBorders>
              <w:top w:val="single" w:sz="4" w:space="0" w:color="000000"/>
              <w:left w:val="single" w:sz="4" w:space="0" w:color="000000"/>
              <w:bottom w:val="single" w:sz="4" w:space="0" w:color="000000"/>
              <w:right w:val="single" w:sz="4" w:space="0" w:color="000000"/>
            </w:tcBorders>
            <w:vAlign w:val="center"/>
          </w:tcPr>
          <w:p w14:paraId="6B18C690" w14:textId="2AFEEC04"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39,00</w:t>
            </w:r>
          </w:p>
        </w:tc>
        <w:tc>
          <w:tcPr>
            <w:tcW w:w="1702" w:type="dxa"/>
            <w:tcBorders>
              <w:top w:val="single" w:sz="4" w:space="0" w:color="000000"/>
              <w:left w:val="single" w:sz="4" w:space="0" w:color="000000"/>
              <w:bottom w:val="single" w:sz="4" w:space="0" w:color="000000"/>
              <w:right w:val="single" w:sz="4" w:space="0" w:color="000000"/>
            </w:tcBorders>
            <w:vAlign w:val="center"/>
          </w:tcPr>
          <w:p w14:paraId="3086830A" w14:textId="4FA53886"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19.500,00</w:t>
            </w:r>
          </w:p>
        </w:tc>
      </w:tr>
      <w:tr w:rsidR="000452E6" w:rsidRPr="000452E6" w14:paraId="6F4DCC6F" w14:textId="77777777" w:rsidTr="000452E6">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0047463" w14:textId="2FB1BBB1" w:rsidR="000452E6" w:rsidRPr="000452E6" w:rsidRDefault="000452E6" w:rsidP="000452E6">
            <w:pPr>
              <w:pStyle w:val="TableParagraph"/>
              <w:ind w:left="14"/>
              <w:jc w:val="center"/>
              <w:rPr>
                <w:rFonts w:ascii="Arial Narrow" w:hAnsi="Arial Narrow" w:cs="Arial"/>
                <w:sz w:val="18"/>
                <w:szCs w:val="18"/>
              </w:rPr>
            </w:pPr>
            <w:r>
              <w:rPr>
                <w:rFonts w:ascii="Arial Narrow" w:hAnsi="Arial Narrow" w:cs="Arial"/>
                <w:sz w:val="18"/>
                <w:szCs w:val="18"/>
              </w:rPr>
              <w:t>03</w:t>
            </w:r>
          </w:p>
        </w:tc>
        <w:tc>
          <w:tcPr>
            <w:tcW w:w="852" w:type="dxa"/>
            <w:tcBorders>
              <w:top w:val="single" w:sz="4" w:space="0" w:color="000000"/>
              <w:left w:val="single" w:sz="4" w:space="0" w:color="000000"/>
              <w:bottom w:val="single" w:sz="4" w:space="0" w:color="000000"/>
              <w:right w:val="single" w:sz="4" w:space="0" w:color="000000"/>
            </w:tcBorders>
            <w:vAlign w:val="center"/>
          </w:tcPr>
          <w:p w14:paraId="05F1E0D8" w14:textId="7BE0A655" w:rsidR="000452E6" w:rsidRPr="000452E6" w:rsidRDefault="000452E6" w:rsidP="000452E6">
            <w:pPr>
              <w:pStyle w:val="TableParagraph"/>
              <w:ind w:left="125" w:right="118"/>
              <w:jc w:val="center"/>
              <w:rPr>
                <w:rFonts w:ascii="Arial Narrow" w:hAnsi="Arial Narrow" w:cs="Arial"/>
                <w:sz w:val="18"/>
                <w:szCs w:val="18"/>
              </w:rPr>
            </w:pPr>
            <w:r>
              <w:rPr>
                <w:rFonts w:ascii="Arial Narrow" w:hAnsi="Arial Narrow" w:cs="Arial"/>
                <w:sz w:val="18"/>
                <w:szCs w:val="18"/>
              </w:rPr>
              <w:t>800</w:t>
            </w:r>
          </w:p>
        </w:tc>
        <w:tc>
          <w:tcPr>
            <w:tcW w:w="718" w:type="dxa"/>
            <w:tcBorders>
              <w:top w:val="single" w:sz="4" w:space="0" w:color="000000"/>
              <w:left w:val="single" w:sz="4" w:space="0" w:color="000000"/>
              <w:bottom w:val="single" w:sz="4" w:space="0" w:color="000000"/>
              <w:right w:val="single" w:sz="4" w:space="0" w:color="000000"/>
            </w:tcBorders>
            <w:vAlign w:val="center"/>
          </w:tcPr>
          <w:p w14:paraId="2B4B8102" w14:textId="6F35F715" w:rsidR="000452E6" w:rsidRPr="000452E6" w:rsidRDefault="000452E6" w:rsidP="000452E6">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0AA0E898" w14:textId="0A71DF14" w:rsidR="000452E6" w:rsidRPr="000452E6" w:rsidRDefault="000452E6" w:rsidP="000452E6">
            <w:pPr>
              <w:pStyle w:val="TableParagraph"/>
              <w:ind w:left="107" w:right="99"/>
              <w:jc w:val="both"/>
              <w:rPr>
                <w:rFonts w:ascii="Arial Narrow" w:hAnsi="Arial Narrow" w:cs="Arial"/>
                <w:sz w:val="18"/>
                <w:szCs w:val="18"/>
              </w:rPr>
            </w:pPr>
            <w:r w:rsidRPr="000452E6">
              <w:rPr>
                <w:rFonts w:ascii="Arial Narrow" w:hAnsi="Arial Narrow" w:cstheme="minorHAnsi"/>
                <w:sz w:val="18"/>
                <w:szCs w:val="18"/>
              </w:rPr>
              <w:t>TUBO DE CONCRETO SIMPLES, CLASSE - PS-1, MACHO/FEMEA, DN 400 MM, PARA ÁGUAS PLUVIAIS (NBR 8890)</w:t>
            </w:r>
          </w:p>
        </w:tc>
        <w:tc>
          <w:tcPr>
            <w:tcW w:w="1561" w:type="dxa"/>
            <w:tcBorders>
              <w:top w:val="single" w:sz="4" w:space="0" w:color="000000"/>
              <w:left w:val="single" w:sz="4" w:space="0" w:color="000000"/>
              <w:bottom w:val="single" w:sz="4" w:space="0" w:color="000000"/>
              <w:right w:val="single" w:sz="4" w:space="0" w:color="000000"/>
            </w:tcBorders>
            <w:vAlign w:val="center"/>
          </w:tcPr>
          <w:p w14:paraId="5A07D1E7" w14:textId="2676CB2E"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48,99</w:t>
            </w:r>
          </w:p>
        </w:tc>
        <w:tc>
          <w:tcPr>
            <w:tcW w:w="1702" w:type="dxa"/>
            <w:tcBorders>
              <w:top w:val="single" w:sz="4" w:space="0" w:color="000000"/>
              <w:left w:val="single" w:sz="4" w:space="0" w:color="000000"/>
              <w:bottom w:val="single" w:sz="4" w:space="0" w:color="000000"/>
              <w:right w:val="single" w:sz="4" w:space="0" w:color="000000"/>
            </w:tcBorders>
            <w:vAlign w:val="center"/>
          </w:tcPr>
          <w:p w14:paraId="790C7E14" w14:textId="6FE9F896"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39.192,00</w:t>
            </w:r>
          </w:p>
        </w:tc>
      </w:tr>
      <w:tr w:rsidR="000452E6" w:rsidRPr="000452E6" w14:paraId="2CD2D002" w14:textId="77777777" w:rsidTr="0091546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DD9AED8" w14:textId="7D71DE4F" w:rsidR="000452E6" w:rsidRPr="000452E6" w:rsidRDefault="000452E6" w:rsidP="000452E6">
            <w:pPr>
              <w:pStyle w:val="TableParagraph"/>
              <w:ind w:left="14"/>
              <w:jc w:val="center"/>
              <w:rPr>
                <w:rFonts w:ascii="Arial Narrow" w:hAnsi="Arial Narrow" w:cs="Arial"/>
                <w:sz w:val="18"/>
                <w:szCs w:val="18"/>
              </w:rPr>
            </w:pPr>
            <w:r>
              <w:rPr>
                <w:rFonts w:ascii="Arial Narrow" w:hAnsi="Arial Narrow" w:cs="Arial"/>
                <w:sz w:val="18"/>
                <w:szCs w:val="18"/>
              </w:rPr>
              <w:t>05</w:t>
            </w:r>
          </w:p>
        </w:tc>
        <w:tc>
          <w:tcPr>
            <w:tcW w:w="852" w:type="dxa"/>
            <w:tcBorders>
              <w:top w:val="single" w:sz="4" w:space="0" w:color="000000"/>
              <w:left w:val="single" w:sz="4" w:space="0" w:color="000000"/>
              <w:bottom w:val="single" w:sz="4" w:space="0" w:color="000000"/>
              <w:right w:val="single" w:sz="4" w:space="0" w:color="000000"/>
            </w:tcBorders>
            <w:vAlign w:val="center"/>
          </w:tcPr>
          <w:p w14:paraId="43155D99" w14:textId="590212B6" w:rsidR="000452E6" w:rsidRPr="000452E6" w:rsidRDefault="000452E6" w:rsidP="000452E6">
            <w:pPr>
              <w:pStyle w:val="TableParagraph"/>
              <w:ind w:left="125" w:right="118"/>
              <w:jc w:val="center"/>
              <w:rPr>
                <w:rFonts w:ascii="Arial Narrow" w:hAnsi="Arial Narrow" w:cs="Arial"/>
                <w:sz w:val="18"/>
                <w:szCs w:val="18"/>
              </w:rPr>
            </w:pPr>
            <w:r>
              <w:rPr>
                <w:rFonts w:ascii="Arial Narrow" w:hAnsi="Arial Narrow" w:cs="Arial"/>
                <w:sz w:val="18"/>
                <w:szCs w:val="18"/>
              </w:rPr>
              <w:t>800</w:t>
            </w:r>
          </w:p>
        </w:tc>
        <w:tc>
          <w:tcPr>
            <w:tcW w:w="718" w:type="dxa"/>
            <w:tcBorders>
              <w:top w:val="single" w:sz="4" w:space="0" w:color="000000"/>
              <w:left w:val="single" w:sz="4" w:space="0" w:color="000000"/>
              <w:bottom w:val="single" w:sz="4" w:space="0" w:color="000000"/>
              <w:right w:val="single" w:sz="4" w:space="0" w:color="000000"/>
            </w:tcBorders>
            <w:vAlign w:val="center"/>
          </w:tcPr>
          <w:p w14:paraId="25B49B36" w14:textId="46F1A0BF" w:rsidR="000452E6" w:rsidRPr="000452E6" w:rsidRDefault="000452E6" w:rsidP="000452E6">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1CB33E49" w14:textId="60E7C336" w:rsidR="000452E6" w:rsidRPr="000452E6" w:rsidRDefault="000452E6" w:rsidP="000452E6">
            <w:pPr>
              <w:pStyle w:val="TableParagraph"/>
              <w:ind w:left="107" w:right="99"/>
              <w:jc w:val="both"/>
              <w:rPr>
                <w:rFonts w:ascii="Arial Narrow" w:hAnsi="Arial Narrow" w:cs="Arial"/>
                <w:sz w:val="18"/>
                <w:szCs w:val="18"/>
              </w:rPr>
            </w:pPr>
            <w:r w:rsidRPr="000452E6">
              <w:rPr>
                <w:rFonts w:ascii="Arial Narrow" w:hAnsi="Arial Narrow" w:cstheme="minorHAnsi"/>
                <w:sz w:val="18"/>
                <w:szCs w:val="18"/>
              </w:rPr>
              <w:t>TUBO DE CONCRETO SIMPLES, CLASSE - PS-1, MACHO/FEMEA, DN 600 MM, PARA ÁGUAS PLUVIAIS (NBR 8890)</w:t>
            </w:r>
          </w:p>
        </w:tc>
        <w:tc>
          <w:tcPr>
            <w:tcW w:w="1561" w:type="dxa"/>
            <w:tcBorders>
              <w:top w:val="single" w:sz="4" w:space="0" w:color="000000"/>
              <w:left w:val="single" w:sz="4" w:space="0" w:color="000000"/>
              <w:bottom w:val="single" w:sz="4" w:space="0" w:color="000000"/>
              <w:right w:val="single" w:sz="4" w:space="0" w:color="000000"/>
            </w:tcBorders>
            <w:vAlign w:val="center"/>
          </w:tcPr>
          <w:p w14:paraId="23693DEE" w14:textId="71CE82A4"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112,40</w:t>
            </w:r>
          </w:p>
        </w:tc>
        <w:tc>
          <w:tcPr>
            <w:tcW w:w="1702" w:type="dxa"/>
            <w:tcBorders>
              <w:top w:val="single" w:sz="4" w:space="0" w:color="000000"/>
              <w:left w:val="single" w:sz="4" w:space="0" w:color="000000"/>
              <w:bottom w:val="single" w:sz="4" w:space="0" w:color="000000"/>
              <w:right w:val="single" w:sz="4" w:space="0" w:color="000000"/>
            </w:tcBorders>
            <w:vAlign w:val="center"/>
          </w:tcPr>
          <w:p w14:paraId="17798AE9" w14:textId="5AB0184C"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89.920,00</w:t>
            </w:r>
          </w:p>
        </w:tc>
      </w:tr>
      <w:tr w:rsidR="000452E6" w:rsidRPr="000452E6" w14:paraId="1A7F2441" w14:textId="77777777" w:rsidTr="0091546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AE1D7B9" w14:textId="54AB1736" w:rsidR="000452E6" w:rsidRPr="000452E6" w:rsidRDefault="000452E6" w:rsidP="000452E6">
            <w:pPr>
              <w:pStyle w:val="TableParagraph"/>
              <w:ind w:left="14"/>
              <w:jc w:val="center"/>
              <w:rPr>
                <w:rFonts w:ascii="Arial Narrow" w:hAnsi="Arial Narrow" w:cs="Arial"/>
                <w:sz w:val="18"/>
                <w:szCs w:val="18"/>
              </w:rPr>
            </w:pPr>
            <w:r>
              <w:rPr>
                <w:rFonts w:ascii="Arial Narrow" w:hAnsi="Arial Narrow" w:cs="Arial"/>
                <w:sz w:val="18"/>
                <w:szCs w:val="18"/>
              </w:rPr>
              <w:t>06</w:t>
            </w:r>
          </w:p>
        </w:tc>
        <w:tc>
          <w:tcPr>
            <w:tcW w:w="852" w:type="dxa"/>
            <w:tcBorders>
              <w:top w:val="single" w:sz="4" w:space="0" w:color="000000"/>
              <w:left w:val="single" w:sz="4" w:space="0" w:color="000000"/>
              <w:bottom w:val="single" w:sz="4" w:space="0" w:color="000000"/>
              <w:right w:val="single" w:sz="4" w:space="0" w:color="000000"/>
            </w:tcBorders>
            <w:vAlign w:val="center"/>
          </w:tcPr>
          <w:p w14:paraId="551DADBF" w14:textId="38DCB1CB" w:rsidR="000452E6" w:rsidRPr="000452E6" w:rsidRDefault="000452E6" w:rsidP="000452E6">
            <w:pPr>
              <w:pStyle w:val="TableParagraph"/>
              <w:ind w:left="125" w:right="118"/>
              <w:jc w:val="center"/>
              <w:rPr>
                <w:rFonts w:ascii="Arial Narrow" w:hAnsi="Arial Narrow" w:cs="Arial"/>
                <w:sz w:val="18"/>
                <w:szCs w:val="18"/>
              </w:rPr>
            </w:pPr>
            <w:r>
              <w:rPr>
                <w:rFonts w:ascii="Arial Narrow" w:hAnsi="Arial Narrow" w:cs="Arial"/>
                <w:sz w:val="18"/>
                <w:szCs w:val="18"/>
              </w:rPr>
              <w:t>300</w:t>
            </w:r>
          </w:p>
        </w:tc>
        <w:tc>
          <w:tcPr>
            <w:tcW w:w="718" w:type="dxa"/>
            <w:tcBorders>
              <w:top w:val="single" w:sz="4" w:space="0" w:color="000000"/>
              <w:left w:val="single" w:sz="4" w:space="0" w:color="000000"/>
              <w:bottom w:val="single" w:sz="4" w:space="0" w:color="000000"/>
              <w:right w:val="single" w:sz="4" w:space="0" w:color="000000"/>
            </w:tcBorders>
            <w:vAlign w:val="center"/>
          </w:tcPr>
          <w:p w14:paraId="6E9F548C" w14:textId="18F8ABFA" w:rsidR="000452E6" w:rsidRPr="000452E6" w:rsidRDefault="000452E6" w:rsidP="000452E6">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717B68BB" w14:textId="3638C9E1" w:rsidR="000452E6" w:rsidRPr="000452E6" w:rsidRDefault="000452E6" w:rsidP="000452E6">
            <w:pPr>
              <w:pStyle w:val="TableParagraph"/>
              <w:ind w:left="107" w:right="99"/>
              <w:jc w:val="both"/>
              <w:rPr>
                <w:rFonts w:ascii="Arial Narrow" w:hAnsi="Arial Narrow" w:cs="Arial"/>
                <w:sz w:val="18"/>
                <w:szCs w:val="18"/>
              </w:rPr>
            </w:pPr>
            <w:r w:rsidRPr="000452E6">
              <w:rPr>
                <w:rFonts w:ascii="Arial Narrow" w:hAnsi="Arial Narrow" w:cstheme="minorHAnsi"/>
                <w:sz w:val="18"/>
                <w:szCs w:val="18"/>
              </w:rPr>
              <w:t>TUBO DE CONCRETO ARMADO, CLASSE - PA -2, MACHO/FEMEA, DN 1000 MM, PARA AGUAS PLUVIAIS (NBR 8890)</w:t>
            </w:r>
          </w:p>
        </w:tc>
        <w:tc>
          <w:tcPr>
            <w:tcW w:w="1561" w:type="dxa"/>
            <w:tcBorders>
              <w:top w:val="single" w:sz="4" w:space="0" w:color="000000"/>
              <w:left w:val="single" w:sz="4" w:space="0" w:color="000000"/>
              <w:bottom w:val="single" w:sz="4" w:space="0" w:color="000000"/>
              <w:right w:val="single" w:sz="4" w:space="0" w:color="000000"/>
            </w:tcBorders>
            <w:vAlign w:val="center"/>
          </w:tcPr>
          <w:p w14:paraId="266DC11A" w14:textId="46AB08C7"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463,37</w:t>
            </w:r>
          </w:p>
        </w:tc>
        <w:tc>
          <w:tcPr>
            <w:tcW w:w="1702" w:type="dxa"/>
            <w:tcBorders>
              <w:top w:val="single" w:sz="4" w:space="0" w:color="000000"/>
              <w:left w:val="single" w:sz="4" w:space="0" w:color="000000"/>
              <w:bottom w:val="single" w:sz="4" w:space="0" w:color="000000"/>
              <w:right w:val="single" w:sz="4" w:space="0" w:color="000000"/>
            </w:tcBorders>
            <w:vAlign w:val="center"/>
          </w:tcPr>
          <w:p w14:paraId="5B95BCF7" w14:textId="136076A2"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139.011,00</w:t>
            </w:r>
          </w:p>
        </w:tc>
      </w:tr>
      <w:tr w:rsidR="000452E6" w:rsidRPr="000452E6" w14:paraId="78BD6E33" w14:textId="77777777" w:rsidTr="003B705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D5A2638" w14:textId="0436EEFE" w:rsidR="000452E6" w:rsidRPr="000452E6" w:rsidRDefault="000452E6" w:rsidP="000452E6">
            <w:pPr>
              <w:pStyle w:val="TableParagraph"/>
              <w:ind w:left="14"/>
              <w:jc w:val="center"/>
              <w:rPr>
                <w:rFonts w:ascii="Arial Narrow" w:hAnsi="Arial Narrow" w:cs="Arial"/>
                <w:sz w:val="18"/>
                <w:szCs w:val="18"/>
              </w:rPr>
            </w:pPr>
            <w:r>
              <w:rPr>
                <w:rFonts w:ascii="Arial Narrow" w:hAnsi="Arial Narrow" w:cs="Arial"/>
                <w:sz w:val="18"/>
                <w:szCs w:val="18"/>
              </w:rPr>
              <w:t>12</w:t>
            </w:r>
          </w:p>
        </w:tc>
        <w:tc>
          <w:tcPr>
            <w:tcW w:w="852" w:type="dxa"/>
            <w:tcBorders>
              <w:top w:val="single" w:sz="4" w:space="0" w:color="000000"/>
              <w:left w:val="single" w:sz="4" w:space="0" w:color="000000"/>
              <w:bottom w:val="single" w:sz="4" w:space="0" w:color="000000"/>
              <w:right w:val="single" w:sz="4" w:space="0" w:color="000000"/>
            </w:tcBorders>
            <w:vAlign w:val="center"/>
          </w:tcPr>
          <w:p w14:paraId="66792475" w14:textId="41734534" w:rsidR="000452E6" w:rsidRPr="000452E6" w:rsidRDefault="000452E6" w:rsidP="000452E6">
            <w:pPr>
              <w:pStyle w:val="TableParagraph"/>
              <w:ind w:left="125" w:right="118"/>
              <w:jc w:val="center"/>
              <w:rPr>
                <w:rFonts w:ascii="Arial Narrow" w:hAnsi="Arial Narrow" w:cs="Arial"/>
                <w:sz w:val="18"/>
                <w:szCs w:val="18"/>
              </w:rPr>
            </w:pPr>
            <w:r>
              <w:rPr>
                <w:rFonts w:ascii="Arial Narrow" w:hAnsi="Arial Narrow" w:cs="Arial"/>
                <w:sz w:val="18"/>
                <w:szCs w:val="18"/>
              </w:rPr>
              <w:t>1.500</w:t>
            </w:r>
          </w:p>
        </w:tc>
        <w:tc>
          <w:tcPr>
            <w:tcW w:w="718" w:type="dxa"/>
            <w:tcBorders>
              <w:top w:val="single" w:sz="4" w:space="0" w:color="000000"/>
              <w:left w:val="single" w:sz="4" w:space="0" w:color="000000"/>
              <w:bottom w:val="single" w:sz="4" w:space="0" w:color="000000"/>
              <w:right w:val="single" w:sz="4" w:space="0" w:color="000000"/>
            </w:tcBorders>
            <w:vAlign w:val="center"/>
          </w:tcPr>
          <w:p w14:paraId="50788ED8" w14:textId="36440C30" w:rsidR="000452E6" w:rsidRPr="000452E6" w:rsidRDefault="000452E6" w:rsidP="000452E6">
            <w:pPr>
              <w:pStyle w:val="TableParagraph"/>
              <w:ind w:left="123" w:right="111"/>
              <w:jc w:val="center"/>
              <w:rPr>
                <w:rFonts w:ascii="Arial Narrow" w:hAnsi="Arial Narrow" w:cs="Arial"/>
                <w:sz w:val="18"/>
                <w:szCs w:val="18"/>
              </w:rPr>
            </w:pPr>
            <w:r>
              <w:rPr>
                <w:rFonts w:ascii="Arial Narrow" w:hAnsi="Arial Narrow" w:cs="Arial"/>
                <w:sz w:val="18"/>
                <w:szCs w:val="18"/>
              </w:rPr>
              <w:t>M²</w:t>
            </w:r>
          </w:p>
        </w:tc>
        <w:tc>
          <w:tcPr>
            <w:tcW w:w="3845" w:type="dxa"/>
            <w:tcBorders>
              <w:top w:val="single" w:sz="4" w:space="0" w:color="auto"/>
              <w:left w:val="single" w:sz="4" w:space="0" w:color="auto"/>
              <w:bottom w:val="single" w:sz="4" w:space="0" w:color="auto"/>
              <w:right w:val="single" w:sz="4" w:space="0" w:color="auto"/>
            </w:tcBorders>
            <w:vAlign w:val="center"/>
          </w:tcPr>
          <w:p w14:paraId="3C0CD55A" w14:textId="2F27CCFD" w:rsidR="000452E6" w:rsidRPr="000452E6" w:rsidRDefault="000452E6" w:rsidP="000452E6">
            <w:pPr>
              <w:pStyle w:val="TableParagraph"/>
              <w:ind w:left="107" w:right="99"/>
              <w:jc w:val="both"/>
              <w:rPr>
                <w:rFonts w:ascii="Arial Narrow" w:hAnsi="Arial Narrow" w:cs="Arial"/>
                <w:sz w:val="18"/>
                <w:szCs w:val="18"/>
              </w:rPr>
            </w:pPr>
            <w:r w:rsidRPr="000452E6">
              <w:rPr>
                <w:rFonts w:ascii="Arial Narrow" w:hAnsi="Arial Narrow" w:cstheme="minorHAnsi"/>
                <w:sz w:val="18"/>
                <w:szCs w:val="18"/>
              </w:rPr>
              <w:t>BLOQUETE /PISO INTERTRAVADO DE CONCRETO - MODELO RETANGULAR / TIJOLINHO / PAVER / HOLANDES / PARALELEPÍPEDO, 20 CM X 10 CM, E= 6 CM, RESISTÊNCIA DE 35 MPA (NBR 9781), COR NATURAL</w:t>
            </w:r>
          </w:p>
        </w:tc>
        <w:tc>
          <w:tcPr>
            <w:tcW w:w="1561" w:type="dxa"/>
            <w:tcBorders>
              <w:top w:val="single" w:sz="4" w:space="0" w:color="000000"/>
              <w:left w:val="single" w:sz="4" w:space="0" w:color="000000"/>
              <w:bottom w:val="single" w:sz="4" w:space="0" w:color="000000"/>
              <w:right w:val="single" w:sz="4" w:space="0" w:color="000000"/>
            </w:tcBorders>
            <w:vAlign w:val="center"/>
          </w:tcPr>
          <w:p w14:paraId="5361B237" w14:textId="7F8F5B1E"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39,99</w:t>
            </w:r>
          </w:p>
        </w:tc>
        <w:tc>
          <w:tcPr>
            <w:tcW w:w="1702" w:type="dxa"/>
            <w:tcBorders>
              <w:top w:val="single" w:sz="4" w:space="0" w:color="000000"/>
              <w:left w:val="single" w:sz="4" w:space="0" w:color="000000"/>
              <w:bottom w:val="single" w:sz="4" w:space="0" w:color="000000"/>
              <w:right w:val="single" w:sz="4" w:space="0" w:color="000000"/>
            </w:tcBorders>
            <w:vAlign w:val="center"/>
          </w:tcPr>
          <w:p w14:paraId="65FEBD9F" w14:textId="412E5E9E"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59.985,00</w:t>
            </w:r>
          </w:p>
        </w:tc>
      </w:tr>
      <w:tr w:rsidR="000452E6" w:rsidRPr="000452E6" w14:paraId="733039BD" w14:textId="77777777" w:rsidTr="003B7051">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9E7909D" w14:textId="76EA0F52" w:rsidR="000452E6" w:rsidRPr="000452E6" w:rsidRDefault="000452E6" w:rsidP="000452E6">
            <w:pPr>
              <w:pStyle w:val="TableParagraph"/>
              <w:ind w:left="14"/>
              <w:jc w:val="center"/>
              <w:rPr>
                <w:rFonts w:ascii="Arial Narrow" w:hAnsi="Arial Narrow" w:cs="Arial"/>
                <w:sz w:val="18"/>
                <w:szCs w:val="18"/>
              </w:rPr>
            </w:pPr>
            <w:r>
              <w:rPr>
                <w:rFonts w:ascii="Arial Narrow" w:hAnsi="Arial Narrow" w:cs="Arial"/>
                <w:sz w:val="18"/>
                <w:szCs w:val="18"/>
              </w:rPr>
              <w:t>13</w:t>
            </w:r>
          </w:p>
        </w:tc>
        <w:tc>
          <w:tcPr>
            <w:tcW w:w="852" w:type="dxa"/>
            <w:tcBorders>
              <w:top w:val="single" w:sz="4" w:space="0" w:color="000000"/>
              <w:left w:val="single" w:sz="4" w:space="0" w:color="000000"/>
              <w:bottom w:val="single" w:sz="4" w:space="0" w:color="000000"/>
              <w:right w:val="single" w:sz="4" w:space="0" w:color="000000"/>
            </w:tcBorders>
            <w:vAlign w:val="center"/>
          </w:tcPr>
          <w:p w14:paraId="23A3BA18" w14:textId="3193F5D0" w:rsidR="000452E6" w:rsidRPr="000452E6" w:rsidRDefault="000452E6" w:rsidP="000452E6">
            <w:pPr>
              <w:pStyle w:val="TableParagraph"/>
              <w:ind w:left="125" w:right="118"/>
              <w:jc w:val="center"/>
              <w:rPr>
                <w:rFonts w:ascii="Arial Narrow" w:hAnsi="Arial Narrow" w:cs="Arial"/>
                <w:sz w:val="18"/>
                <w:szCs w:val="18"/>
              </w:rPr>
            </w:pPr>
            <w:r>
              <w:rPr>
                <w:rFonts w:ascii="Arial Narrow" w:hAnsi="Arial Narrow" w:cs="Arial"/>
                <w:sz w:val="18"/>
                <w:szCs w:val="18"/>
              </w:rPr>
              <w:t>1.000</w:t>
            </w:r>
          </w:p>
        </w:tc>
        <w:tc>
          <w:tcPr>
            <w:tcW w:w="718" w:type="dxa"/>
            <w:tcBorders>
              <w:top w:val="single" w:sz="4" w:space="0" w:color="000000"/>
              <w:left w:val="single" w:sz="4" w:space="0" w:color="000000"/>
              <w:bottom w:val="single" w:sz="4" w:space="0" w:color="000000"/>
              <w:right w:val="single" w:sz="4" w:space="0" w:color="000000"/>
            </w:tcBorders>
            <w:vAlign w:val="center"/>
          </w:tcPr>
          <w:p w14:paraId="5B26E323" w14:textId="33263030" w:rsidR="000452E6" w:rsidRPr="000452E6" w:rsidRDefault="000452E6" w:rsidP="000452E6">
            <w:pPr>
              <w:pStyle w:val="TableParagraph"/>
              <w:ind w:left="123" w:right="111"/>
              <w:jc w:val="center"/>
              <w:rPr>
                <w:rFonts w:ascii="Arial Narrow" w:hAnsi="Arial Narrow" w:cs="Arial"/>
                <w:sz w:val="18"/>
                <w:szCs w:val="18"/>
              </w:rPr>
            </w:pPr>
            <w:r>
              <w:rPr>
                <w:rFonts w:ascii="Arial Narrow" w:hAnsi="Arial Narrow" w:cs="Arial"/>
                <w:sz w:val="18"/>
                <w:szCs w:val="18"/>
              </w:rPr>
              <w:t>M²</w:t>
            </w:r>
          </w:p>
        </w:tc>
        <w:tc>
          <w:tcPr>
            <w:tcW w:w="3845" w:type="dxa"/>
            <w:tcBorders>
              <w:top w:val="single" w:sz="4" w:space="0" w:color="auto"/>
              <w:left w:val="single" w:sz="4" w:space="0" w:color="auto"/>
              <w:bottom w:val="single" w:sz="4" w:space="0" w:color="auto"/>
              <w:right w:val="single" w:sz="4" w:space="0" w:color="auto"/>
            </w:tcBorders>
            <w:vAlign w:val="center"/>
          </w:tcPr>
          <w:p w14:paraId="7DE4AD4C" w14:textId="24EFCD2B" w:rsidR="000452E6" w:rsidRPr="000452E6" w:rsidRDefault="000452E6" w:rsidP="000452E6">
            <w:pPr>
              <w:pStyle w:val="TableParagraph"/>
              <w:ind w:left="107" w:right="99"/>
              <w:jc w:val="both"/>
              <w:rPr>
                <w:rFonts w:ascii="Arial Narrow" w:hAnsi="Arial Narrow" w:cs="Arial"/>
                <w:sz w:val="18"/>
                <w:szCs w:val="18"/>
              </w:rPr>
            </w:pPr>
            <w:r w:rsidRPr="000452E6">
              <w:rPr>
                <w:rFonts w:ascii="Arial Narrow" w:hAnsi="Arial Narrow" w:cstheme="minorHAnsi"/>
                <w:sz w:val="18"/>
                <w:szCs w:val="18"/>
              </w:rPr>
              <w:t>BLOQUETE /PISO INTERTRAVADO DE CONCRETO - MODELO RETANGULAR / TIJOLINHO / PAVER / HOLANDES / PARALELEPÍPEDO, 20 CM X 10 CM, E= 8 CM, RESISTÊNCIA DE 35 MPA (NBR 9781), COR NATURAL</w:t>
            </w:r>
          </w:p>
        </w:tc>
        <w:tc>
          <w:tcPr>
            <w:tcW w:w="1561" w:type="dxa"/>
            <w:tcBorders>
              <w:top w:val="single" w:sz="4" w:space="0" w:color="000000"/>
              <w:left w:val="single" w:sz="4" w:space="0" w:color="000000"/>
              <w:bottom w:val="single" w:sz="4" w:space="0" w:color="000000"/>
              <w:right w:val="single" w:sz="4" w:space="0" w:color="000000"/>
            </w:tcBorders>
            <w:vAlign w:val="center"/>
          </w:tcPr>
          <w:p w14:paraId="48D938EA" w14:textId="7ACC4100"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62,39</w:t>
            </w:r>
          </w:p>
        </w:tc>
        <w:tc>
          <w:tcPr>
            <w:tcW w:w="1702" w:type="dxa"/>
            <w:tcBorders>
              <w:top w:val="single" w:sz="4" w:space="0" w:color="000000"/>
              <w:left w:val="single" w:sz="4" w:space="0" w:color="000000"/>
              <w:bottom w:val="single" w:sz="4" w:space="0" w:color="000000"/>
              <w:right w:val="single" w:sz="4" w:space="0" w:color="000000"/>
            </w:tcBorders>
            <w:vAlign w:val="center"/>
          </w:tcPr>
          <w:p w14:paraId="50695009" w14:textId="721ABDCF" w:rsidR="000452E6" w:rsidRPr="000452E6" w:rsidRDefault="000452E6" w:rsidP="000452E6">
            <w:pPr>
              <w:pStyle w:val="TableParagraph"/>
              <w:jc w:val="center"/>
              <w:rPr>
                <w:rFonts w:ascii="Arial Narrow" w:hAnsi="Arial Narrow" w:cs="Arial"/>
                <w:sz w:val="18"/>
                <w:szCs w:val="18"/>
              </w:rPr>
            </w:pPr>
            <w:r>
              <w:rPr>
                <w:rFonts w:ascii="Arial Narrow" w:hAnsi="Arial Narrow" w:cs="Arial"/>
                <w:sz w:val="18"/>
                <w:szCs w:val="18"/>
              </w:rPr>
              <w:t>62.390,00</w:t>
            </w:r>
          </w:p>
        </w:tc>
      </w:tr>
      <w:tr w:rsidR="000452E6" w:rsidRPr="000452E6" w14:paraId="6E1D78FE" w14:textId="77777777" w:rsidTr="000452E6">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403CB192" w14:textId="77777777" w:rsidR="000452E6" w:rsidRPr="000452E6" w:rsidRDefault="000452E6" w:rsidP="000452E6">
            <w:pPr>
              <w:pStyle w:val="TableParagraph"/>
              <w:ind w:right="230"/>
              <w:jc w:val="right"/>
              <w:rPr>
                <w:rFonts w:ascii="Arial Narrow" w:hAnsi="Arial Narrow" w:cs="Arial"/>
                <w:b/>
                <w:bCs/>
                <w:sz w:val="18"/>
                <w:szCs w:val="18"/>
              </w:rPr>
            </w:pPr>
            <w:r w:rsidRPr="000452E6">
              <w:rPr>
                <w:rFonts w:ascii="Arial Narrow" w:hAnsi="Arial Narrow" w:cs="Arial"/>
                <w:b/>
                <w:bCs/>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737517C3" w14:textId="7E361D0A" w:rsidR="000452E6" w:rsidRPr="000452E6" w:rsidRDefault="000452E6" w:rsidP="000452E6">
            <w:pPr>
              <w:pStyle w:val="TableParagraph"/>
              <w:jc w:val="center"/>
              <w:rPr>
                <w:rFonts w:ascii="Arial Narrow" w:hAnsi="Arial Narrow" w:cs="Arial"/>
                <w:b/>
                <w:bCs/>
                <w:sz w:val="18"/>
                <w:szCs w:val="18"/>
              </w:rPr>
            </w:pPr>
            <w:r w:rsidRPr="000452E6">
              <w:rPr>
                <w:rFonts w:ascii="Arial Narrow" w:hAnsi="Arial Narrow" w:cs="Arial"/>
                <w:b/>
                <w:bCs/>
                <w:sz w:val="18"/>
                <w:szCs w:val="18"/>
              </w:rPr>
              <w:t>R$ 421.974,00</w:t>
            </w:r>
          </w:p>
        </w:tc>
      </w:tr>
    </w:tbl>
    <w:p w14:paraId="7BB78A80" w14:textId="77777777" w:rsidR="00BC64CD" w:rsidRDefault="00BC64CD" w:rsidP="00BC64CD">
      <w:pPr>
        <w:pStyle w:val="Corpodetexto"/>
        <w:ind w:left="502" w:right="120"/>
        <w:jc w:val="both"/>
        <w:rPr>
          <w:rFonts w:ascii="Arial Narrow" w:eastAsia="Arial MT" w:hAnsi="Arial Narrow" w:cs="Arial MT"/>
          <w:b/>
          <w:bCs/>
          <w:lang w:val="pt-PT" w:eastAsia="en-US"/>
        </w:rPr>
      </w:pPr>
    </w:p>
    <w:p w14:paraId="4B4955CC"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76D5258" w14:textId="77777777" w:rsidR="00BC64CD" w:rsidRDefault="00BC64CD" w:rsidP="00BC64CD">
      <w:pPr>
        <w:pStyle w:val="Corpodetexto"/>
        <w:ind w:left="360" w:right="120"/>
        <w:jc w:val="both"/>
        <w:rPr>
          <w:rFonts w:ascii="Arial Narrow" w:hAnsi="Arial Narrow"/>
          <w:b/>
          <w:bCs/>
        </w:rPr>
      </w:pPr>
    </w:p>
    <w:p w14:paraId="17FCCEA4"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589026CB" w14:textId="77777777" w:rsidR="00BC64CD" w:rsidRDefault="00BC64CD" w:rsidP="00BC64CD">
      <w:pPr>
        <w:pStyle w:val="Corpodetexto"/>
        <w:ind w:left="502" w:right="120"/>
        <w:jc w:val="both"/>
        <w:rPr>
          <w:rFonts w:ascii="Arial Narrow" w:hAnsi="Arial Narrow"/>
          <w:b/>
          <w:bCs/>
        </w:rPr>
      </w:pPr>
    </w:p>
    <w:p w14:paraId="2D2D22F2" w14:textId="60FFEB44"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F94AB1">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F94AB1">
        <w:rPr>
          <w:rFonts w:ascii="Arial Narrow" w:hAnsi="Arial Narrow" w:cs="Arial"/>
        </w:rPr>
        <w:t>órgão requisitante</w:t>
      </w:r>
      <w:r>
        <w:rPr>
          <w:rFonts w:ascii="Arial Narrow" w:hAnsi="Arial Narrow" w:cs="Arial"/>
        </w:rPr>
        <w:t>.</w:t>
      </w:r>
    </w:p>
    <w:p w14:paraId="37A278A7" w14:textId="77777777" w:rsidR="00BC64CD" w:rsidRDefault="00BC64CD" w:rsidP="00BC64CD">
      <w:pPr>
        <w:pStyle w:val="Corpodetexto"/>
        <w:ind w:left="567" w:right="120" w:hanging="425"/>
        <w:jc w:val="both"/>
        <w:rPr>
          <w:rFonts w:ascii="Arial Narrow" w:hAnsi="Arial Narrow"/>
          <w:b/>
          <w:bCs/>
        </w:rPr>
      </w:pPr>
    </w:p>
    <w:p w14:paraId="6EFB773B"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01A0719" w14:textId="77777777" w:rsidR="00BC64CD" w:rsidRDefault="00BC64CD" w:rsidP="00BC64CD">
      <w:pPr>
        <w:pStyle w:val="Corpodetexto"/>
        <w:ind w:left="567" w:right="120" w:hanging="425"/>
        <w:jc w:val="both"/>
        <w:rPr>
          <w:rFonts w:ascii="Arial Narrow" w:hAnsi="Arial Narrow"/>
          <w:b/>
          <w:bCs/>
        </w:rPr>
      </w:pPr>
    </w:p>
    <w:p w14:paraId="418F1CE1"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2A53B291" w14:textId="77777777" w:rsidR="00BC64CD" w:rsidRDefault="00BC64CD" w:rsidP="00BC64CD">
      <w:pPr>
        <w:pStyle w:val="PargrafodaLista"/>
        <w:ind w:left="567" w:hanging="425"/>
        <w:rPr>
          <w:rFonts w:ascii="Arial Narrow" w:hAnsi="Arial Narrow" w:cs="Arial"/>
        </w:rPr>
      </w:pPr>
    </w:p>
    <w:p w14:paraId="67F61B72" w14:textId="4DD21B00"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F94AB1">
        <w:rPr>
          <w:rFonts w:ascii="Arial Narrow" w:hAnsi="Arial Narrow" w:cs="Arial"/>
        </w:rPr>
        <w:t>ausentes</w:t>
      </w:r>
      <w:r>
        <w:rPr>
          <w:rFonts w:ascii="Arial Narrow" w:hAnsi="Arial Narrow" w:cs="Arial"/>
        </w:rPr>
        <w:t>.</w:t>
      </w:r>
    </w:p>
    <w:p w14:paraId="6E1CF548" w14:textId="77777777" w:rsidR="00BC64CD" w:rsidRPr="00F94AB1" w:rsidRDefault="00BC64CD" w:rsidP="00F94AB1">
      <w:pPr>
        <w:rPr>
          <w:rFonts w:ascii="Arial Narrow" w:hAnsi="Arial Narrow" w:cs="Arial"/>
        </w:rPr>
      </w:pPr>
    </w:p>
    <w:p w14:paraId="67FABBC5"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19027512" w14:textId="77777777" w:rsidR="00BC64CD" w:rsidRDefault="00BC64CD" w:rsidP="00BC64CD">
      <w:pPr>
        <w:ind w:left="567" w:right="110"/>
        <w:rPr>
          <w:rFonts w:ascii="Arial Narrow" w:hAnsi="Arial Narrow" w:cs="Arial"/>
        </w:rPr>
      </w:pPr>
      <w:r>
        <w:rPr>
          <w:rFonts w:ascii="Arial Narrow" w:hAnsi="Arial Narrow" w:cs="Arial"/>
        </w:rPr>
        <w:t>PREFEITURA MUNICIPAL DE ÁGUA DOCE, Praça João Macagnan, 322, centro, Água Doce (SC), 89.654-000, CNPJ nº 82.939.398/0001-90</w:t>
      </w:r>
    </w:p>
    <w:p w14:paraId="0E51FAB9" w14:textId="77777777" w:rsidR="00BC64CD" w:rsidRDefault="00BC64CD" w:rsidP="00BC64CD">
      <w:pPr>
        <w:tabs>
          <w:tab w:val="left" w:pos="966"/>
        </w:tabs>
        <w:ind w:left="567" w:right="110" w:hanging="425"/>
        <w:jc w:val="both"/>
        <w:rPr>
          <w:rFonts w:ascii="Arial Narrow" w:hAnsi="Arial Narrow" w:cs="Arial"/>
        </w:rPr>
      </w:pPr>
    </w:p>
    <w:p w14:paraId="7A0C541C"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4603AC42" w14:textId="77777777" w:rsidR="00BC64CD" w:rsidRDefault="00BC64CD" w:rsidP="00BC64CD">
      <w:pPr>
        <w:pStyle w:val="Corpodetexto"/>
        <w:ind w:left="567" w:right="120" w:hanging="425"/>
        <w:jc w:val="both"/>
        <w:rPr>
          <w:rFonts w:ascii="Arial Narrow" w:hAnsi="Arial Narrow"/>
          <w:b/>
          <w:bCs/>
        </w:rPr>
      </w:pPr>
    </w:p>
    <w:p w14:paraId="15F44402"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As notas fiscais, em caso de fundos, devem ser emitidas em seus respectivos CNPJ’s.</w:t>
      </w:r>
    </w:p>
    <w:p w14:paraId="56E1C702" w14:textId="77777777" w:rsidR="00BC64CD" w:rsidRDefault="00BC64CD" w:rsidP="00BC64CD">
      <w:pPr>
        <w:pStyle w:val="PargrafodaLista"/>
        <w:ind w:left="567" w:hanging="425"/>
        <w:rPr>
          <w:rFonts w:ascii="Arial Narrow" w:hAnsi="Arial Narrow" w:cs="Arial"/>
        </w:rPr>
      </w:pPr>
    </w:p>
    <w:p w14:paraId="2E9C801A"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informado na Solicitação de Fornecimento, para conferência, com cópia para o Departamento de Compras, Licitações, Convênios e Contratos, através do e-mail: nfe@aguadoce.sc.gov.br.</w:t>
      </w:r>
    </w:p>
    <w:p w14:paraId="44EB4042" w14:textId="77777777" w:rsidR="00BC64CD" w:rsidRDefault="00BC64CD" w:rsidP="00BC64CD">
      <w:pPr>
        <w:pStyle w:val="PargrafodaLista"/>
        <w:ind w:left="567" w:hanging="425"/>
        <w:rPr>
          <w:rFonts w:ascii="Arial Narrow" w:hAnsi="Arial Narrow" w:cs="Arial"/>
        </w:rPr>
      </w:pPr>
    </w:p>
    <w:p w14:paraId="100D0383"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E4C82C4" w14:textId="77777777" w:rsidR="00BC64CD" w:rsidRDefault="00BC64CD" w:rsidP="00BC64CD">
      <w:pPr>
        <w:pStyle w:val="PargrafodaLista"/>
        <w:ind w:left="567" w:hanging="425"/>
        <w:rPr>
          <w:rFonts w:ascii="Arial Narrow" w:hAnsi="Arial Narrow" w:cs="Arial"/>
        </w:rPr>
      </w:pPr>
    </w:p>
    <w:p w14:paraId="384192AA"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46A44818" w14:textId="77777777" w:rsidR="00BC64CD" w:rsidRDefault="00BC64CD" w:rsidP="00BC64CD">
      <w:pPr>
        <w:pStyle w:val="PargrafodaLista"/>
        <w:ind w:left="567" w:hanging="425"/>
        <w:rPr>
          <w:rFonts w:ascii="Arial Narrow" w:hAnsi="Arial Narrow" w:cs="Arial"/>
        </w:rPr>
      </w:pPr>
    </w:p>
    <w:p w14:paraId="276E8D5F"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57324862" w14:textId="77777777" w:rsidR="00BC64CD" w:rsidRDefault="00BC64CD" w:rsidP="00BC64CD">
      <w:pPr>
        <w:pStyle w:val="PargrafodaLista"/>
        <w:rPr>
          <w:rFonts w:ascii="Arial Narrow" w:hAnsi="Arial Narrow"/>
          <w:b/>
          <w:bCs/>
        </w:rPr>
      </w:pPr>
    </w:p>
    <w:p w14:paraId="3F0FAD65"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577BD4B5" w14:textId="77777777" w:rsidR="00BC64CD" w:rsidRDefault="00BC64CD" w:rsidP="00BC64CD">
      <w:pPr>
        <w:pStyle w:val="PargrafodaLista"/>
        <w:rPr>
          <w:rFonts w:ascii="Arial Narrow" w:hAnsi="Arial Narrow"/>
          <w:b/>
          <w:bCs/>
        </w:rPr>
      </w:pPr>
    </w:p>
    <w:p w14:paraId="449BF580"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2E260FDC" w14:textId="77777777" w:rsidR="00BC64CD" w:rsidRDefault="00BC64CD" w:rsidP="00BC64CD">
      <w:pPr>
        <w:pStyle w:val="Corpodetexto"/>
        <w:ind w:left="502" w:right="120"/>
        <w:jc w:val="both"/>
        <w:rPr>
          <w:rFonts w:ascii="Arial Narrow" w:hAnsi="Arial Narrow"/>
          <w:b/>
          <w:bCs/>
        </w:rPr>
      </w:pPr>
    </w:p>
    <w:p w14:paraId="053B3508"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4B6E19AB" w14:textId="77777777" w:rsidR="00BC64CD" w:rsidRDefault="00BC64CD" w:rsidP="00BC64CD">
      <w:pPr>
        <w:pStyle w:val="Corpodetexto"/>
        <w:ind w:right="120"/>
        <w:jc w:val="both"/>
        <w:rPr>
          <w:rFonts w:ascii="Arial Narrow" w:hAnsi="Arial Narrow"/>
          <w:b/>
          <w:bCs/>
        </w:rPr>
      </w:pPr>
    </w:p>
    <w:p w14:paraId="59DBA3F0"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5A2D20D4" w14:textId="77777777" w:rsidR="00BC64CD" w:rsidRDefault="00BC64CD" w:rsidP="00BC64CD">
      <w:pPr>
        <w:pStyle w:val="Corpodetexto"/>
        <w:ind w:left="502" w:right="120"/>
        <w:jc w:val="both"/>
        <w:rPr>
          <w:rFonts w:ascii="Arial Narrow" w:hAnsi="Arial Narrow"/>
          <w:b/>
          <w:bCs/>
        </w:rPr>
      </w:pPr>
    </w:p>
    <w:p w14:paraId="10513B69"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1760EF2F" w14:textId="77777777" w:rsidR="00BC64CD" w:rsidRDefault="00BC64CD" w:rsidP="00BC64CD">
      <w:pPr>
        <w:pStyle w:val="PargrafodaLista"/>
        <w:rPr>
          <w:rFonts w:ascii="Arial Narrow" w:hAnsi="Arial Narrow"/>
          <w:b/>
          <w:bCs/>
        </w:rPr>
      </w:pPr>
    </w:p>
    <w:p w14:paraId="7CC48ED9" w14:textId="77777777" w:rsidR="00BC64CD" w:rsidRDefault="00BC64CD" w:rsidP="00BC64CD">
      <w:pPr>
        <w:pStyle w:val="PargrafodaLista"/>
        <w:rPr>
          <w:rFonts w:ascii="Arial Narrow" w:hAnsi="Arial Narrow"/>
          <w:b/>
          <w:bCs/>
        </w:rPr>
      </w:pPr>
    </w:p>
    <w:p w14:paraId="1BA9248E"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42EC09AB" w14:textId="77777777" w:rsidR="00BC64CD" w:rsidRDefault="00BC64CD" w:rsidP="00BC64CD">
      <w:pPr>
        <w:pStyle w:val="Corpodetexto"/>
        <w:ind w:right="120"/>
        <w:jc w:val="both"/>
        <w:rPr>
          <w:rFonts w:ascii="Arial Narrow" w:hAnsi="Arial Narrow"/>
          <w:b/>
          <w:bCs/>
        </w:rPr>
      </w:pPr>
    </w:p>
    <w:p w14:paraId="743BB3CB"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316D684F" w14:textId="77777777" w:rsidR="00BC64CD" w:rsidRDefault="00BC64CD" w:rsidP="00BC64CD">
      <w:pPr>
        <w:pStyle w:val="Corpodetexto"/>
        <w:ind w:left="360" w:right="120"/>
        <w:jc w:val="both"/>
        <w:rPr>
          <w:rFonts w:ascii="Arial Narrow" w:hAnsi="Arial Narrow"/>
          <w:b/>
          <w:bCs/>
        </w:rPr>
      </w:pPr>
    </w:p>
    <w:p w14:paraId="4D477863"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49E25810" w14:textId="77777777" w:rsidR="00BC64CD" w:rsidRDefault="00BC64CD" w:rsidP="00BC64CD">
      <w:pPr>
        <w:pStyle w:val="Corpodetexto"/>
        <w:ind w:left="502" w:right="120"/>
        <w:jc w:val="both"/>
        <w:rPr>
          <w:rFonts w:ascii="Arial Narrow" w:hAnsi="Arial Narrow"/>
          <w:b/>
          <w:bCs/>
        </w:rPr>
      </w:pPr>
    </w:p>
    <w:p w14:paraId="0B593F73" w14:textId="372D0CA9"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F94AB1">
        <w:rPr>
          <w:rFonts w:ascii="Arial Narrow" w:hAnsi="Arial Narrow" w:cs="Arial"/>
        </w:rPr>
        <w:t>Órgão</w:t>
      </w:r>
      <w:r>
        <w:rPr>
          <w:rFonts w:ascii="Arial Narrow" w:hAnsi="Arial Narrow" w:cs="Arial"/>
        </w:rPr>
        <w:t xml:space="preserve"> Gerenciador, através do servidor </w:t>
      </w:r>
      <w:r>
        <w:rPr>
          <w:rFonts w:ascii="Arial Narrow" w:hAnsi="Arial Narrow" w:cs="Arial"/>
          <w:b/>
        </w:rPr>
        <w:t>Anderson Alves Justino</w:t>
      </w:r>
      <w:r>
        <w:rPr>
          <w:rFonts w:ascii="Arial Narrow" w:hAnsi="Arial Narrow" w:cs="Arial"/>
        </w:rPr>
        <w:t>, que acompanhará e fiscalizará a entrega, anotando em registro próprio todas as ocorrências relacionadas com a execução e determinando o que for necessário à regularização de falhas ou defeitos observados.</w:t>
      </w:r>
    </w:p>
    <w:p w14:paraId="79E3C5E3" w14:textId="77777777" w:rsidR="00BC64CD" w:rsidRDefault="00BC64CD" w:rsidP="00BC64CD">
      <w:pPr>
        <w:pStyle w:val="Corpodetexto"/>
        <w:ind w:left="502" w:right="120"/>
        <w:jc w:val="both"/>
        <w:rPr>
          <w:rFonts w:ascii="Arial Narrow" w:hAnsi="Arial Narrow"/>
          <w:b/>
          <w:bCs/>
        </w:rPr>
      </w:pPr>
    </w:p>
    <w:p w14:paraId="322B8EA0"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A fiscalização de que trata o subitem acima, não exclui nem reduz a responsabilidade da Detentora, inclusive perante </w:t>
      </w:r>
      <w:r>
        <w:rPr>
          <w:rFonts w:ascii="Arial Narrow" w:hAnsi="Arial Narrow" w:cs="Arial"/>
        </w:rPr>
        <w:lastRenderedPageBreak/>
        <w:t>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4C0B5F06" w14:textId="77777777" w:rsidR="00BC64CD" w:rsidRDefault="00BC64CD" w:rsidP="00BC64CD">
      <w:pPr>
        <w:pStyle w:val="PargrafodaLista"/>
        <w:rPr>
          <w:rFonts w:ascii="Arial Narrow" w:hAnsi="Arial Narrow"/>
          <w:b/>
          <w:bCs/>
        </w:rPr>
      </w:pPr>
    </w:p>
    <w:p w14:paraId="6B494D48"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626B6C5" w14:textId="77777777" w:rsidR="00BC64CD" w:rsidRDefault="00BC64CD" w:rsidP="00BC64CD">
      <w:pPr>
        <w:pStyle w:val="PargrafodaLista"/>
        <w:rPr>
          <w:rFonts w:ascii="Arial Narrow" w:hAnsi="Arial Narrow"/>
          <w:b/>
          <w:bCs/>
        </w:rPr>
      </w:pPr>
    </w:p>
    <w:p w14:paraId="463E87E5"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Coordenadoria de Convênios e Contratos do Município de Água Doce.</w:t>
      </w:r>
    </w:p>
    <w:p w14:paraId="67F03E6C" w14:textId="77777777" w:rsidR="00BC64CD" w:rsidRDefault="00BC64CD" w:rsidP="00BC64CD">
      <w:pPr>
        <w:pStyle w:val="PargrafodaLista"/>
        <w:rPr>
          <w:rFonts w:ascii="Arial Narrow" w:hAnsi="Arial Narrow"/>
          <w:b/>
          <w:bCs/>
        </w:rPr>
      </w:pPr>
    </w:p>
    <w:p w14:paraId="06979419"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01934EA" w14:textId="77777777" w:rsidR="00BC64CD" w:rsidRDefault="00BC64CD" w:rsidP="00BC64CD">
      <w:pPr>
        <w:pStyle w:val="PargrafodaLista"/>
        <w:rPr>
          <w:rFonts w:ascii="Arial Narrow" w:hAnsi="Arial Narrow"/>
          <w:b/>
          <w:bCs/>
        </w:rPr>
      </w:pPr>
    </w:p>
    <w:p w14:paraId="620FA077"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0C8BDC90" w14:textId="77777777" w:rsidR="00BC64CD" w:rsidRDefault="00BC64CD" w:rsidP="00BC64CD">
      <w:pPr>
        <w:pStyle w:val="Corpodetexto"/>
        <w:ind w:left="1004" w:right="120"/>
        <w:jc w:val="both"/>
        <w:rPr>
          <w:rFonts w:ascii="Arial Narrow" w:hAnsi="Arial Narrow"/>
          <w:b/>
          <w:bCs/>
        </w:rPr>
      </w:pPr>
    </w:p>
    <w:p w14:paraId="6C992D91"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4B7608CA" w14:textId="77777777" w:rsidR="00BC64CD" w:rsidRDefault="00BC64CD" w:rsidP="00BC64CD">
      <w:pPr>
        <w:pStyle w:val="Corpodetexto"/>
        <w:ind w:left="1004" w:right="120"/>
        <w:jc w:val="both"/>
        <w:rPr>
          <w:rFonts w:ascii="Arial Narrow" w:hAnsi="Arial Narrow"/>
          <w:b/>
          <w:bCs/>
        </w:rPr>
      </w:pPr>
    </w:p>
    <w:p w14:paraId="0A3C03A1"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3B63ED96" w14:textId="77777777" w:rsidR="00BC64CD" w:rsidRDefault="00BC64CD" w:rsidP="00BC64CD">
      <w:pPr>
        <w:pStyle w:val="Corpodetexto"/>
        <w:ind w:left="502" w:right="120"/>
        <w:jc w:val="both"/>
        <w:rPr>
          <w:rFonts w:ascii="Arial Narrow" w:hAnsi="Arial Narrow"/>
          <w:b/>
          <w:bCs/>
        </w:rPr>
      </w:pPr>
    </w:p>
    <w:p w14:paraId="039E72E1"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0A9DDFA" w14:textId="77777777" w:rsidR="00BC64CD" w:rsidRDefault="00BC64CD" w:rsidP="00BC64CD">
      <w:pPr>
        <w:pStyle w:val="Corpodetexto"/>
        <w:ind w:left="1004" w:right="120"/>
        <w:jc w:val="both"/>
        <w:rPr>
          <w:rFonts w:ascii="Arial Narrow" w:hAnsi="Arial Narrow"/>
          <w:b/>
          <w:bCs/>
        </w:rPr>
      </w:pPr>
    </w:p>
    <w:p w14:paraId="3FB5C186"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3ACDF557" w14:textId="77777777" w:rsidR="00BC64CD" w:rsidRDefault="00BC64CD" w:rsidP="00BC64CD">
      <w:pPr>
        <w:pStyle w:val="Corpodetexto"/>
        <w:ind w:left="1004" w:right="120"/>
        <w:jc w:val="both"/>
        <w:rPr>
          <w:rFonts w:ascii="Arial Narrow" w:hAnsi="Arial Narrow"/>
          <w:b/>
          <w:bCs/>
        </w:rPr>
      </w:pPr>
    </w:p>
    <w:p w14:paraId="0A49E546"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4FED59AA" w14:textId="77777777" w:rsidR="00BC64CD" w:rsidRDefault="00BC64CD" w:rsidP="00BC64CD">
      <w:pPr>
        <w:pStyle w:val="Corpodetexto"/>
        <w:ind w:right="120"/>
        <w:jc w:val="both"/>
        <w:rPr>
          <w:rFonts w:ascii="Arial Narrow" w:hAnsi="Arial Narrow"/>
          <w:b/>
          <w:bCs/>
        </w:rPr>
      </w:pPr>
    </w:p>
    <w:p w14:paraId="5F95A12D"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0A553410" w14:textId="77777777" w:rsidR="00BC64CD" w:rsidRDefault="00BC64CD" w:rsidP="00BC64CD">
      <w:pPr>
        <w:pStyle w:val="PargrafodaLista"/>
        <w:rPr>
          <w:rFonts w:ascii="Arial Narrow" w:hAnsi="Arial Narrow" w:cs="Arial"/>
        </w:rPr>
      </w:pPr>
    </w:p>
    <w:p w14:paraId="01BAEED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7B690A83" w14:textId="77777777" w:rsidR="00BC64CD" w:rsidRDefault="00BC64CD" w:rsidP="00BC64CD">
      <w:pPr>
        <w:rPr>
          <w:rFonts w:ascii="Arial Narrow" w:hAnsi="Arial Narrow"/>
          <w:b/>
          <w:bCs/>
        </w:rPr>
      </w:pPr>
    </w:p>
    <w:p w14:paraId="07C5391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342B9DFE" w14:textId="77777777" w:rsidR="00BC64CD" w:rsidRDefault="00BC64CD" w:rsidP="00BC64CD">
      <w:pPr>
        <w:pStyle w:val="PargrafodaLista"/>
        <w:rPr>
          <w:rFonts w:ascii="Arial Narrow" w:hAnsi="Arial Narrow"/>
          <w:b/>
          <w:bCs/>
        </w:rPr>
      </w:pPr>
    </w:p>
    <w:p w14:paraId="0858D81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5365BFE5" w14:textId="77777777" w:rsidR="00BC64CD" w:rsidRDefault="00BC64CD" w:rsidP="00BC64CD">
      <w:pPr>
        <w:pStyle w:val="PargrafodaLista"/>
        <w:rPr>
          <w:rFonts w:ascii="Arial Narrow" w:hAnsi="Arial Narrow"/>
          <w:b/>
          <w:bCs/>
        </w:rPr>
      </w:pPr>
    </w:p>
    <w:p w14:paraId="017F851E"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142289F9" w14:textId="77777777" w:rsidR="00BC64CD" w:rsidRDefault="00BC64CD" w:rsidP="00BC64CD">
      <w:pPr>
        <w:pStyle w:val="PargrafodaLista"/>
        <w:rPr>
          <w:rFonts w:ascii="Arial Narrow" w:hAnsi="Arial Narrow"/>
          <w:b/>
          <w:bCs/>
        </w:rPr>
      </w:pPr>
    </w:p>
    <w:p w14:paraId="0C13C02C" w14:textId="2BC569FF"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F94AB1">
        <w:rPr>
          <w:rFonts w:ascii="Arial Narrow" w:hAnsi="Arial Narrow" w:cs="Arial"/>
        </w:rPr>
        <w:t>as condições</w:t>
      </w:r>
      <w:r>
        <w:rPr>
          <w:rFonts w:ascii="Arial Narrow" w:hAnsi="Arial Narrow" w:cs="Arial"/>
        </w:rPr>
        <w:t xml:space="preserve"> de habilitação e qualificação exigidas na licitação;</w:t>
      </w:r>
    </w:p>
    <w:p w14:paraId="6CC00520" w14:textId="77777777" w:rsidR="00BC64CD" w:rsidRDefault="00BC64CD" w:rsidP="00BC64CD">
      <w:pPr>
        <w:pStyle w:val="PargrafodaLista"/>
        <w:rPr>
          <w:rFonts w:ascii="Arial Narrow" w:hAnsi="Arial Narrow" w:cs="Arial"/>
        </w:rPr>
      </w:pPr>
    </w:p>
    <w:p w14:paraId="1D919A78"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lastRenderedPageBreak/>
        <w:t>Indicar preposto para representá-la durante a execução da ata de registro de preço;</w:t>
      </w:r>
    </w:p>
    <w:p w14:paraId="75DFB6CC" w14:textId="77777777" w:rsidR="00BC64CD" w:rsidRDefault="00BC64CD" w:rsidP="00BC64CD">
      <w:pPr>
        <w:pStyle w:val="PargrafodaLista"/>
        <w:rPr>
          <w:rFonts w:ascii="Arial Narrow" w:hAnsi="Arial Narrow" w:cs="Arial"/>
        </w:rPr>
      </w:pPr>
    </w:p>
    <w:p w14:paraId="22749BB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6E86424C" w14:textId="77777777" w:rsidR="00BC64CD" w:rsidRDefault="00BC64CD" w:rsidP="00BC64CD">
      <w:pPr>
        <w:pStyle w:val="PargrafodaLista"/>
        <w:rPr>
          <w:rFonts w:ascii="Arial Narrow" w:hAnsi="Arial Narrow" w:cs="Arial"/>
        </w:rPr>
      </w:pPr>
    </w:p>
    <w:p w14:paraId="2FAA4BC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3329058E" w14:textId="77777777" w:rsidR="00BC64CD" w:rsidRDefault="00BC64CD" w:rsidP="00BC64CD">
      <w:pPr>
        <w:pStyle w:val="PargrafodaLista"/>
        <w:tabs>
          <w:tab w:val="left" w:pos="834"/>
        </w:tabs>
        <w:ind w:left="833" w:firstLine="0"/>
        <w:rPr>
          <w:rFonts w:ascii="Arial Narrow" w:hAnsi="Arial Narrow" w:cs="Arial"/>
        </w:rPr>
      </w:pPr>
    </w:p>
    <w:p w14:paraId="47C6D547"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31F0E394" w14:textId="77777777" w:rsidR="00BC64CD" w:rsidRDefault="00BC64CD" w:rsidP="00BC64CD">
      <w:pPr>
        <w:pStyle w:val="PargrafodaLista"/>
        <w:rPr>
          <w:rFonts w:ascii="Arial Narrow" w:hAnsi="Arial Narrow" w:cs="Arial"/>
        </w:rPr>
      </w:pPr>
    </w:p>
    <w:p w14:paraId="015775FE"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Manter todos os empregados colocados a serviço na execução do objeto devidamente uniformizados e munidos dos EPI’s adequados, com a identificação da detentora;</w:t>
      </w:r>
    </w:p>
    <w:p w14:paraId="135640DB" w14:textId="77777777" w:rsidR="00BC64CD" w:rsidRDefault="00BC64CD" w:rsidP="00BC64CD">
      <w:pPr>
        <w:pStyle w:val="PargrafodaLista"/>
        <w:rPr>
          <w:rFonts w:ascii="Arial Narrow" w:hAnsi="Arial Narrow" w:cs="Arial"/>
        </w:rPr>
      </w:pPr>
    </w:p>
    <w:p w14:paraId="6F02D22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5A44D0CF" w14:textId="77777777" w:rsidR="00BC64CD" w:rsidRDefault="00BC64CD" w:rsidP="00BC64CD">
      <w:pPr>
        <w:pStyle w:val="PargrafodaLista"/>
        <w:rPr>
          <w:rFonts w:ascii="Arial Narrow" w:hAnsi="Arial Narrow" w:cs="Arial"/>
        </w:rPr>
      </w:pPr>
    </w:p>
    <w:p w14:paraId="1D0B8512"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5DFCBE48" w14:textId="77777777" w:rsidR="00BC64CD" w:rsidRDefault="00BC64CD" w:rsidP="00BC64CD">
      <w:pPr>
        <w:pStyle w:val="PargrafodaLista"/>
        <w:rPr>
          <w:rFonts w:ascii="Arial Narrow" w:hAnsi="Arial Narrow" w:cs="Arial"/>
        </w:rPr>
      </w:pPr>
    </w:p>
    <w:p w14:paraId="441CB99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1D085269" w14:textId="77777777" w:rsidR="00BC64CD" w:rsidRDefault="00BC64CD" w:rsidP="00BC64CD">
      <w:pPr>
        <w:pStyle w:val="PargrafodaLista"/>
        <w:tabs>
          <w:tab w:val="left" w:pos="834"/>
        </w:tabs>
        <w:ind w:left="833" w:right="122" w:firstLine="0"/>
        <w:rPr>
          <w:rFonts w:ascii="Arial Narrow" w:hAnsi="Arial Narrow" w:cs="Arial"/>
        </w:rPr>
      </w:pPr>
    </w:p>
    <w:p w14:paraId="634E5258"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4EB9EFC1" w14:textId="77777777" w:rsidR="00BC64CD" w:rsidRDefault="00BC64CD" w:rsidP="00BC64CD">
      <w:pPr>
        <w:pStyle w:val="PargrafodaLista"/>
        <w:rPr>
          <w:rFonts w:ascii="Arial Narrow" w:hAnsi="Arial Narrow"/>
          <w:b/>
          <w:bCs/>
        </w:rPr>
      </w:pPr>
    </w:p>
    <w:p w14:paraId="4E2FADA2"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1624F69F" w14:textId="77777777" w:rsidR="00BC64CD" w:rsidRDefault="00BC64CD" w:rsidP="00BC64CD">
      <w:pPr>
        <w:pStyle w:val="PargrafodaLista"/>
        <w:rPr>
          <w:rFonts w:ascii="Arial Narrow" w:hAnsi="Arial Narrow"/>
          <w:b/>
          <w:bCs/>
        </w:rPr>
      </w:pPr>
    </w:p>
    <w:p w14:paraId="2315F247" w14:textId="00772A33"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F94AB1">
        <w:rPr>
          <w:rFonts w:ascii="Arial Narrow" w:hAnsi="Arial Narrow"/>
        </w:rPr>
        <w:t>órgãos</w:t>
      </w:r>
      <w:r>
        <w:rPr>
          <w:rFonts w:ascii="Arial Narrow" w:hAnsi="Arial Narrow"/>
        </w:rPr>
        <w:t xml:space="preserve"> regulamentadores de produtos e serviços.</w:t>
      </w:r>
    </w:p>
    <w:p w14:paraId="1BFC5055" w14:textId="77777777" w:rsidR="00BC64CD" w:rsidRDefault="00BC64CD" w:rsidP="00BC64CD">
      <w:pPr>
        <w:pStyle w:val="PargrafodaLista"/>
        <w:rPr>
          <w:rFonts w:ascii="Arial Narrow" w:hAnsi="Arial Narrow"/>
          <w:b/>
          <w:bCs/>
        </w:rPr>
      </w:pPr>
    </w:p>
    <w:p w14:paraId="39A28BBF"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2BD7E113" w14:textId="77777777" w:rsidR="00BC64CD" w:rsidRDefault="00BC64CD" w:rsidP="00BC64CD">
      <w:pPr>
        <w:pStyle w:val="Corpodetexto"/>
        <w:ind w:left="502" w:right="120"/>
        <w:jc w:val="both"/>
        <w:rPr>
          <w:rFonts w:ascii="Arial Narrow" w:hAnsi="Arial Narrow"/>
          <w:b/>
          <w:bCs/>
        </w:rPr>
      </w:pPr>
    </w:p>
    <w:p w14:paraId="13E262B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6EF17432" w14:textId="77777777" w:rsidR="00BC64CD" w:rsidRDefault="00BC64CD" w:rsidP="00BC64CD">
      <w:pPr>
        <w:pStyle w:val="Corpodetexto"/>
        <w:ind w:left="502" w:right="120"/>
        <w:jc w:val="both"/>
        <w:rPr>
          <w:rFonts w:ascii="Arial Narrow" w:hAnsi="Arial Narrow"/>
        </w:rPr>
      </w:pPr>
    </w:p>
    <w:p w14:paraId="40039614"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64A1571A" w14:textId="77777777" w:rsidR="00BC64CD" w:rsidRDefault="00BC64CD" w:rsidP="00BC64CD">
      <w:pPr>
        <w:pStyle w:val="Corpodetexto"/>
        <w:ind w:left="502" w:right="120"/>
        <w:jc w:val="both"/>
        <w:rPr>
          <w:rFonts w:ascii="Arial Narrow" w:hAnsi="Arial Narrow"/>
        </w:rPr>
      </w:pPr>
    </w:p>
    <w:p w14:paraId="1C97787C"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79F5E012" w14:textId="77777777" w:rsidR="00BC64CD" w:rsidRDefault="00BC64CD" w:rsidP="00BC64CD">
      <w:pPr>
        <w:pStyle w:val="Corpodetexto"/>
        <w:ind w:left="502" w:right="120"/>
        <w:jc w:val="both"/>
        <w:rPr>
          <w:rFonts w:ascii="Arial Narrow" w:hAnsi="Arial Narrow"/>
        </w:rPr>
      </w:pPr>
    </w:p>
    <w:p w14:paraId="68A20720"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2AF848BE" w14:textId="77777777" w:rsidR="00BC64CD" w:rsidRDefault="00BC64CD" w:rsidP="00BC64CD">
      <w:pPr>
        <w:pStyle w:val="Corpodetexto"/>
        <w:ind w:left="502" w:right="120"/>
        <w:jc w:val="both"/>
        <w:rPr>
          <w:rFonts w:ascii="Arial Narrow" w:hAnsi="Arial Narrow"/>
        </w:rPr>
      </w:pPr>
    </w:p>
    <w:p w14:paraId="120B6D0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5B6179E2" w14:textId="77777777" w:rsidR="00BC64CD" w:rsidRDefault="00BC64CD" w:rsidP="00BC64CD">
      <w:pPr>
        <w:pStyle w:val="Corpodetexto"/>
        <w:ind w:left="502" w:right="120"/>
        <w:jc w:val="both"/>
        <w:rPr>
          <w:rFonts w:ascii="Arial Narrow" w:hAnsi="Arial Narrow"/>
        </w:rPr>
      </w:pPr>
    </w:p>
    <w:p w14:paraId="458DA79F" w14:textId="25353CFA"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F94AB1">
        <w:rPr>
          <w:rFonts w:ascii="Arial Narrow" w:hAnsi="Arial Narrow"/>
        </w:rPr>
        <w:t>ou subordinados</w:t>
      </w:r>
      <w:r>
        <w:rPr>
          <w:rFonts w:ascii="Arial Narrow" w:hAnsi="Arial Narrow"/>
        </w:rPr>
        <w:t>;</w:t>
      </w:r>
    </w:p>
    <w:p w14:paraId="66645467" w14:textId="77777777" w:rsidR="00BC64CD" w:rsidRDefault="00BC64CD" w:rsidP="00BC64CD">
      <w:pPr>
        <w:pStyle w:val="Corpodetexto"/>
        <w:ind w:left="502" w:right="120"/>
        <w:jc w:val="both"/>
        <w:rPr>
          <w:rFonts w:ascii="Arial Narrow" w:hAnsi="Arial Narrow"/>
        </w:rPr>
      </w:pPr>
    </w:p>
    <w:p w14:paraId="3206E4DC"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Rejeitar, no todo ou em parte, os serviços executados em desacordo com as exigências deste Edital e seus </w:t>
      </w:r>
      <w:r>
        <w:rPr>
          <w:rFonts w:ascii="Arial Narrow" w:hAnsi="Arial Narrow"/>
        </w:rPr>
        <w:lastRenderedPageBreak/>
        <w:t>Anexos.</w:t>
      </w:r>
    </w:p>
    <w:p w14:paraId="4D86A5E9" w14:textId="77777777" w:rsidR="00BC64CD" w:rsidRDefault="00BC64CD" w:rsidP="00BC64CD">
      <w:pPr>
        <w:pStyle w:val="PargrafodaLista"/>
        <w:rPr>
          <w:rFonts w:ascii="Arial Narrow" w:hAnsi="Arial Narrow"/>
        </w:rPr>
      </w:pPr>
    </w:p>
    <w:p w14:paraId="4197BB4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4F77DC2" w14:textId="77777777" w:rsidR="00BC64CD" w:rsidRDefault="00BC64CD" w:rsidP="00BC64CD">
      <w:pPr>
        <w:pStyle w:val="PargrafodaLista"/>
        <w:rPr>
          <w:rFonts w:ascii="Arial Narrow" w:hAnsi="Arial Narrow"/>
        </w:rPr>
      </w:pPr>
    </w:p>
    <w:p w14:paraId="55A070D0"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0714C6CA" w14:textId="77777777" w:rsidR="00BC64CD" w:rsidRDefault="00BC64CD" w:rsidP="00BC64CD">
      <w:pPr>
        <w:pStyle w:val="PargrafodaLista"/>
        <w:rPr>
          <w:rFonts w:ascii="Arial Narrow" w:hAnsi="Arial Narrow"/>
        </w:rPr>
      </w:pPr>
    </w:p>
    <w:p w14:paraId="431AE416" w14:textId="77777777" w:rsidR="00BC64CD" w:rsidRDefault="00BC64CD" w:rsidP="00BC64CD">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79ACFC60" w14:textId="77777777" w:rsidR="00BC64CD" w:rsidRDefault="00BC64CD" w:rsidP="00BC64CD">
      <w:pPr>
        <w:pStyle w:val="Corpodetexto"/>
        <w:ind w:left="360" w:right="120"/>
        <w:jc w:val="both"/>
        <w:rPr>
          <w:rFonts w:ascii="Arial Narrow" w:hAnsi="Arial Narrow"/>
          <w:b/>
          <w:bCs/>
        </w:rPr>
      </w:pPr>
    </w:p>
    <w:p w14:paraId="7C5AEDA6"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475C0665"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306E2BBB"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D907303"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7998F7E7"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7C6B537F" w14:textId="77777777" w:rsidR="00BC64CD" w:rsidRDefault="00BC64CD" w:rsidP="00BC64CD">
      <w:pPr>
        <w:pStyle w:val="Corpodetexto"/>
        <w:ind w:left="502" w:right="120"/>
        <w:jc w:val="both"/>
        <w:rPr>
          <w:rFonts w:ascii="Arial Narrow" w:hAnsi="Arial Narrow"/>
          <w:b/>
          <w:bCs/>
        </w:rPr>
      </w:pPr>
    </w:p>
    <w:p w14:paraId="3C6F35A2"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1169637E" w14:textId="77777777" w:rsidR="00BC64CD" w:rsidRDefault="00BC64CD" w:rsidP="00BC64CD">
      <w:pPr>
        <w:pStyle w:val="Corpodetexto"/>
        <w:ind w:left="709" w:right="120"/>
        <w:jc w:val="both"/>
        <w:rPr>
          <w:rFonts w:ascii="Arial Narrow" w:hAnsi="Arial Narrow"/>
          <w:b/>
          <w:bCs/>
        </w:rPr>
      </w:pPr>
    </w:p>
    <w:p w14:paraId="131A91DF"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7D5ADB38" w14:textId="77777777" w:rsidR="00BC64CD" w:rsidRDefault="00BC64CD" w:rsidP="00BC64CD">
      <w:pPr>
        <w:pStyle w:val="PargrafodaLista"/>
        <w:numPr>
          <w:ilvl w:val="4"/>
          <w:numId w:val="18"/>
        </w:numPr>
        <w:rPr>
          <w:rFonts w:ascii="Arial Narrow" w:hAnsi="Arial Narrow"/>
          <w:b/>
          <w:bCs/>
        </w:rPr>
      </w:pPr>
      <w:r>
        <w:rPr>
          <w:rFonts w:ascii="Arial Narrow" w:hAnsi="Arial Narrow"/>
        </w:rPr>
        <w:t>Por razão de interesse público; ou</w:t>
      </w:r>
    </w:p>
    <w:p w14:paraId="2198F0ED" w14:textId="77777777" w:rsidR="00BC64CD" w:rsidRDefault="00BC64CD" w:rsidP="00BC64CD">
      <w:pPr>
        <w:pStyle w:val="PargrafodaLista"/>
        <w:numPr>
          <w:ilvl w:val="4"/>
          <w:numId w:val="18"/>
        </w:numPr>
        <w:rPr>
          <w:rFonts w:ascii="Arial Narrow" w:hAnsi="Arial Narrow"/>
          <w:b/>
          <w:bCs/>
        </w:rPr>
      </w:pPr>
      <w:r>
        <w:rPr>
          <w:rFonts w:ascii="Arial Narrow" w:hAnsi="Arial Narrow"/>
        </w:rPr>
        <w:t>A pedido do fornecedor.</w:t>
      </w:r>
    </w:p>
    <w:p w14:paraId="035F7810" w14:textId="77777777" w:rsidR="00BC64CD" w:rsidRDefault="00BC64CD" w:rsidP="00BC64CD">
      <w:pPr>
        <w:pStyle w:val="PargrafodaLista"/>
        <w:rPr>
          <w:rFonts w:ascii="Arial Narrow" w:hAnsi="Arial Narrow"/>
          <w:b/>
          <w:bCs/>
          <w:sz w:val="22"/>
        </w:rPr>
      </w:pPr>
    </w:p>
    <w:p w14:paraId="008DA7A0"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5564663D" w14:textId="77777777" w:rsidR="00BC64CD" w:rsidRDefault="00BC64CD" w:rsidP="00BC64CD">
      <w:pPr>
        <w:pStyle w:val="Corpodetexto"/>
        <w:ind w:left="360" w:right="120"/>
        <w:jc w:val="both"/>
        <w:rPr>
          <w:rFonts w:ascii="Arial Narrow" w:hAnsi="Arial Narrow"/>
          <w:b/>
          <w:bCs/>
        </w:rPr>
      </w:pPr>
    </w:p>
    <w:p w14:paraId="07B30616" w14:textId="77777777" w:rsidR="00BC64CD" w:rsidRDefault="00BC64CD" w:rsidP="00BC64CD">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79FD2359" w14:textId="77777777" w:rsidR="00BC64CD" w:rsidRDefault="00BC64CD" w:rsidP="00BC64CD">
      <w:pPr>
        <w:pStyle w:val="Corpodetexto"/>
        <w:ind w:left="360" w:right="120"/>
        <w:jc w:val="both"/>
        <w:rPr>
          <w:rFonts w:ascii="Arial Narrow" w:hAnsi="Arial Narrow"/>
          <w:b/>
          <w:bCs/>
        </w:rPr>
      </w:pPr>
    </w:p>
    <w:p w14:paraId="7F4217B9"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59500EE" w14:textId="77777777" w:rsidR="00BC64CD" w:rsidRDefault="00BC64CD" w:rsidP="00BC64CD">
      <w:pPr>
        <w:pStyle w:val="Corpodetexto"/>
        <w:ind w:left="502" w:right="120"/>
        <w:jc w:val="both"/>
        <w:rPr>
          <w:rFonts w:ascii="Arial Narrow" w:hAnsi="Arial Narrow"/>
        </w:rPr>
      </w:pPr>
    </w:p>
    <w:p w14:paraId="60517384"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2FC96C9D" w14:textId="77777777" w:rsidR="00BC64CD" w:rsidRDefault="00BC64CD" w:rsidP="00BC64CD">
      <w:pPr>
        <w:pStyle w:val="Corpodetexto"/>
        <w:ind w:left="502" w:right="120"/>
        <w:jc w:val="both"/>
        <w:rPr>
          <w:rFonts w:ascii="Arial Narrow" w:hAnsi="Arial Narrow"/>
        </w:rPr>
      </w:pPr>
    </w:p>
    <w:p w14:paraId="5D589ED2"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2BD1CBB0" w14:textId="77777777" w:rsidR="00BC64CD" w:rsidRDefault="00BC64CD" w:rsidP="00BC64CD">
      <w:pPr>
        <w:pStyle w:val="Corpodetexto"/>
        <w:ind w:left="502" w:right="120"/>
        <w:jc w:val="both"/>
        <w:rPr>
          <w:rFonts w:ascii="Arial Narrow" w:hAnsi="Arial Narrow"/>
        </w:rPr>
      </w:pPr>
    </w:p>
    <w:p w14:paraId="2A7FD9E8"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5D77140" w14:textId="77777777" w:rsidR="00BC64CD" w:rsidRDefault="00BC64CD" w:rsidP="00BC64CD">
      <w:pPr>
        <w:pStyle w:val="Corpodetexto"/>
        <w:ind w:left="502" w:right="120"/>
        <w:jc w:val="both"/>
        <w:rPr>
          <w:rFonts w:ascii="Arial Narrow" w:hAnsi="Arial Narrow"/>
        </w:rPr>
      </w:pPr>
    </w:p>
    <w:p w14:paraId="3520612B"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lastRenderedPageBreak/>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363C7BF3" w14:textId="77777777" w:rsidR="00BC64CD" w:rsidRDefault="00BC64CD" w:rsidP="00BC64CD">
      <w:pPr>
        <w:pStyle w:val="Corpodetexto"/>
        <w:ind w:left="502" w:right="120"/>
        <w:jc w:val="both"/>
        <w:rPr>
          <w:rFonts w:ascii="Arial Narrow" w:hAnsi="Arial Narrow"/>
        </w:rPr>
      </w:pPr>
    </w:p>
    <w:p w14:paraId="496BDE23"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A35BBC8" w14:textId="77777777" w:rsidR="00BC64CD" w:rsidRDefault="00BC64CD" w:rsidP="00BC64CD">
      <w:pPr>
        <w:pStyle w:val="Corpodetexto"/>
        <w:ind w:left="502" w:right="120"/>
        <w:jc w:val="both"/>
        <w:rPr>
          <w:rFonts w:ascii="Arial Narrow" w:hAnsi="Arial Narrow"/>
        </w:rPr>
      </w:pPr>
    </w:p>
    <w:p w14:paraId="0A71C40C" w14:textId="392F360E"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F94AB1">
        <w:rPr>
          <w:rFonts w:ascii="Arial Narrow" w:hAnsi="Arial Narrow"/>
        </w:rPr>
        <w:t>alertando-os</w:t>
      </w:r>
      <w:r>
        <w:rPr>
          <w:rFonts w:ascii="Arial Narrow" w:hAnsi="Arial Narrow"/>
        </w:rPr>
        <w:t xml:space="preserve"> sobre as responsabilidades decorrentes do descumprimento de tal dever.</w:t>
      </w:r>
    </w:p>
    <w:p w14:paraId="497AB269" w14:textId="77777777" w:rsidR="00BC64CD" w:rsidRDefault="00BC64CD" w:rsidP="00BC64CD">
      <w:pPr>
        <w:pStyle w:val="Corpodetexto"/>
        <w:ind w:left="502" w:right="120"/>
        <w:jc w:val="both"/>
        <w:rPr>
          <w:rFonts w:ascii="Arial Narrow" w:hAnsi="Arial Narrow"/>
        </w:rPr>
      </w:pPr>
    </w:p>
    <w:p w14:paraId="031B4CE0"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4960E1F9" w14:textId="77777777" w:rsidR="00BC64CD" w:rsidRDefault="00BC64CD" w:rsidP="00BC64CD">
      <w:pPr>
        <w:pStyle w:val="Corpodetexto"/>
        <w:ind w:left="502" w:right="120"/>
        <w:jc w:val="both"/>
        <w:rPr>
          <w:rFonts w:ascii="Arial Narrow" w:hAnsi="Arial Narrow"/>
        </w:rPr>
      </w:pPr>
    </w:p>
    <w:p w14:paraId="24C9FAEE"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73AC5566" w14:textId="77777777" w:rsidR="00BC64CD" w:rsidRDefault="00BC64CD" w:rsidP="00BC64CD">
      <w:pPr>
        <w:pStyle w:val="Corpodetexto"/>
        <w:ind w:left="502" w:right="120"/>
        <w:jc w:val="both"/>
        <w:rPr>
          <w:rFonts w:ascii="Arial Narrow" w:hAnsi="Arial Narrow"/>
        </w:rPr>
      </w:pPr>
    </w:p>
    <w:p w14:paraId="35551B33"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D0131CC" w14:textId="77777777" w:rsidR="00BC64CD" w:rsidRDefault="00BC64CD" w:rsidP="00BC64CD">
      <w:pPr>
        <w:pStyle w:val="Corpodetexto"/>
        <w:ind w:left="502" w:right="120"/>
        <w:jc w:val="both"/>
        <w:rPr>
          <w:rFonts w:ascii="Arial Narrow" w:hAnsi="Arial Narrow"/>
        </w:rPr>
      </w:pPr>
    </w:p>
    <w:p w14:paraId="51E01069"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1BE279EB" w14:textId="77777777" w:rsidR="00BC64CD" w:rsidRDefault="00BC64CD" w:rsidP="00BC64CD">
      <w:pPr>
        <w:pStyle w:val="Corpodetexto"/>
        <w:ind w:left="502" w:right="120"/>
        <w:jc w:val="both"/>
        <w:rPr>
          <w:rFonts w:ascii="Arial Narrow" w:hAnsi="Arial Narrow"/>
        </w:rPr>
      </w:pPr>
    </w:p>
    <w:p w14:paraId="5A6BE3D1"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780FB2A6" w14:textId="77777777" w:rsidR="00BC64CD" w:rsidRDefault="00BC64CD" w:rsidP="00BC64CD">
      <w:pPr>
        <w:pStyle w:val="Corpodetexto"/>
        <w:ind w:left="502" w:right="120"/>
        <w:jc w:val="both"/>
        <w:rPr>
          <w:rFonts w:ascii="Arial Narrow" w:hAnsi="Arial Narrow"/>
        </w:rPr>
      </w:pPr>
    </w:p>
    <w:p w14:paraId="0D456F76"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atuariais/editalícias.</w:t>
      </w:r>
    </w:p>
    <w:p w14:paraId="3BD1BDBC" w14:textId="77777777" w:rsidR="00BC64CD" w:rsidRDefault="00BC64CD" w:rsidP="00BC64CD">
      <w:pPr>
        <w:pStyle w:val="PargrafodaLista"/>
        <w:rPr>
          <w:rFonts w:ascii="Arial Narrow" w:hAnsi="Arial Narrow"/>
          <w:b/>
          <w:bCs/>
        </w:rPr>
      </w:pPr>
    </w:p>
    <w:p w14:paraId="7868B427" w14:textId="77777777" w:rsidR="00BC64CD" w:rsidRDefault="00BC64CD" w:rsidP="00BC64CD">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63D43AB8" w14:textId="77777777" w:rsidR="00BC64CD" w:rsidRDefault="00BC64CD" w:rsidP="00BC64CD">
      <w:pPr>
        <w:pStyle w:val="Corpodetexto"/>
        <w:ind w:left="360" w:right="120"/>
        <w:jc w:val="both"/>
        <w:rPr>
          <w:rFonts w:ascii="Arial Narrow" w:hAnsi="Arial Narrow"/>
          <w:b/>
          <w:bCs/>
        </w:rPr>
      </w:pPr>
    </w:p>
    <w:p w14:paraId="5FDD9D1A" w14:textId="30D038E9"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F94AB1">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3E0DCBD" w14:textId="77777777" w:rsidR="00BC64CD" w:rsidRDefault="00BC64CD" w:rsidP="00BC64CD">
      <w:pPr>
        <w:pStyle w:val="Corpodetexto"/>
        <w:ind w:left="709" w:right="120"/>
        <w:jc w:val="both"/>
        <w:rPr>
          <w:rFonts w:ascii="Arial Narrow" w:hAnsi="Arial Narrow"/>
          <w:b/>
          <w:bCs/>
        </w:rPr>
      </w:pPr>
    </w:p>
    <w:p w14:paraId="748126E2" w14:textId="66BEDA38"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F94AB1">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19BD9F58" w14:textId="77777777" w:rsidR="00BC64CD" w:rsidRDefault="00BC64CD" w:rsidP="00BC64CD">
      <w:pPr>
        <w:pStyle w:val="Corpodetexto"/>
        <w:ind w:left="502" w:right="120"/>
        <w:jc w:val="both"/>
        <w:rPr>
          <w:rFonts w:ascii="Arial Narrow" w:hAnsi="Arial Narrow"/>
          <w:b/>
          <w:bCs/>
        </w:rPr>
      </w:pPr>
    </w:p>
    <w:p w14:paraId="1A96B489"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22989CC6"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53C329D3"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12871F3"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07A83925"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5BA4E6F4"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03D11EB"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21E53C7D"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724E5243"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41B6BFCA" w14:textId="77777777" w:rsidR="00BC64CD" w:rsidRDefault="00BC64CD" w:rsidP="00BC64CD">
      <w:pPr>
        <w:pStyle w:val="Corpodetexto"/>
        <w:ind w:left="502" w:right="120"/>
        <w:jc w:val="both"/>
        <w:rPr>
          <w:rFonts w:ascii="Arial Narrow" w:hAnsi="Arial Narrow"/>
          <w:b/>
          <w:bCs/>
        </w:rPr>
      </w:pPr>
    </w:p>
    <w:p w14:paraId="1AE86E25"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61D63909" w14:textId="77777777" w:rsidR="00BC64CD" w:rsidRDefault="00BC64CD" w:rsidP="00BC64CD">
      <w:pPr>
        <w:pStyle w:val="Corpodetexto"/>
        <w:ind w:left="502" w:right="120"/>
        <w:jc w:val="both"/>
        <w:rPr>
          <w:rFonts w:ascii="Arial Narrow" w:hAnsi="Arial Narrow"/>
          <w:b/>
          <w:bCs/>
        </w:rPr>
      </w:pPr>
    </w:p>
    <w:p w14:paraId="725705ED"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F8B5860" w14:textId="77777777" w:rsidR="00BC64CD" w:rsidRDefault="00BC64CD" w:rsidP="00BC64CD">
      <w:pPr>
        <w:pStyle w:val="Corpodetexto"/>
        <w:ind w:left="709" w:right="120" w:hanging="567"/>
        <w:jc w:val="both"/>
        <w:rPr>
          <w:rFonts w:ascii="Arial Narrow" w:hAnsi="Arial Narrow"/>
          <w:b/>
          <w:bCs/>
        </w:rPr>
      </w:pPr>
    </w:p>
    <w:p w14:paraId="6FCA1757"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36EE54D9" w14:textId="77777777" w:rsidR="00BC64CD" w:rsidRDefault="00BC64CD" w:rsidP="00BC64CD">
      <w:pPr>
        <w:pStyle w:val="PargrafodaLista"/>
        <w:rPr>
          <w:rFonts w:ascii="Arial Narrow" w:hAnsi="Arial Narrow"/>
          <w:b/>
          <w:bCs/>
        </w:rPr>
      </w:pPr>
    </w:p>
    <w:p w14:paraId="7039E691" w14:textId="77777777" w:rsidR="00BC64CD" w:rsidRDefault="00BC64CD" w:rsidP="00BC64CD">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784F2B6E" w14:textId="77777777" w:rsidR="00BC64CD" w:rsidRDefault="00BC64CD" w:rsidP="00BC64CD">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0420463" w14:textId="77777777" w:rsidR="00BC64CD" w:rsidRDefault="00BC64CD" w:rsidP="00BC64CD">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4FAF1352" w14:textId="77777777" w:rsidR="00BC64CD" w:rsidRDefault="00BC64CD" w:rsidP="00BC64CD">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0A8503F7" w14:textId="77777777" w:rsidR="00BC64CD" w:rsidRDefault="00BC64CD" w:rsidP="00BC64CD">
      <w:pPr>
        <w:pStyle w:val="Corpodetexto"/>
        <w:ind w:left="1276" w:right="120"/>
        <w:jc w:val="both"/>
        <w:rPr>
          <w:rFonts w:ascii="Arial Narrow" w:hAnsi="Arial Narrow"/>
          <w:b/>
          <w:bCs/>
        </w:rPr>
      </w:pPr>
    </w:p>
    <w:p w14:paraId="2BF5BFAC" w14:textId="77777777" w:rsidR="00BC64CD" w:rsidRDefault="00BC64CD" w:rsidP="00BC64CD">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0DC6F205" w14:textId="77777777" w:rsidR="00BC64CD" w:rsidRDefault="00BC64CD" w:rsidP="00BC64CD">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243F56B3" w14:textId="77777777" w:rsidR="00BC64CD" w:rsidRDefault="00BC64CD" w:rsidP="00BC64CD">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CEDE34D" w14:textId="77777777" w:rsidR="00BC64CD" w:rsidRDefault="00BC64CD" w:rsidP="00BC64CD">
      <w:pPr>
        <w:pStyle w:val="Corpodetexto"/>
        <w:ind w:left="1276" w:right="120"/>
        <w:jc w:val="both"/>
        <w:rPr>
          <w:rFonts w:ascii="Arial Narrow" w:hAnsi="Arial Narrow"/>
          <w:b/>
          <w:bCs/>
        </w:rPr>
      </w:pPr>
    </w:p>
    <w:p w14:paraId="3D35C562" w14:textId="77777777" w:rsidR="00BC64CD" w:rsidRDefault="00BC64CD" w:rsidP="00BC64CD">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52E21439" w14:textId="77777777" w:rsidR="00BC64CD" w:rsidRDefault="00BC64CD" w:rsidP="00BC64CD">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462E9D75" w14:textId="77777777" w:rsidR="00BC64CD" w:rsidRDefault="00BC64CD" w:rsidP="00BC64CD">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055B67AD" w14:textId="77777777" w:rsidR="00BC64CD" w:rsidRDefault="00BC64CD" w:rsidP="00BC64CD">
      <w:pPr>
        <w:pStyle w:val="Corpodetexto"/>
        <w:ind w:left="1276" w:right="120"/>
        <w:jc w:val="both"/>
        <w:rPr>
          <w:rFonts w:ascii="Arial Narrow" w:hAnsi="Arial Narrow"/>
          <w:b/>
          <w:bCs/>
        </w:rPr>
      </w:pPr>
    </w:p>
    <w:p w14:paraId="1EA506FB"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C098853" w14:textId="77777777" w:rsidR="00BC64CD" w:rsidRDefault="00BC64CD" w:rsidP="00BC64CD">
      <w:pPr>
        <w:pStyle w:val="Corpodetexto"/>
        <w:ind w:left="709" w:right="120" w:hanging="567"/>
        <w:jc w:val="both"/>
        <w:rPr>
          <w:rFonts w:ascii="Arial Narrow" w:hAnsi="Arial Narrow"/>
          <w:b/>
          <w:bCs/>
        </w:rPr>
      </w:pPr>
    </w:p>
    <w:p w14:paraId="54BFBA62"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A5E2076" w14:textId="77777777" w:rsidR="00BC64CD" w:rsidRDefault="00BC64CD" w:rsidP="00BC64CD">
      <w:pPr>
        <w:pStyle w:val="PargrafodaLista"/>
        <w:ind w:left="709"/>
        <w:rPr>
          <w:rFonts w:ascii="Arial Narrow" w:hAnsi="Arial Narrow"/>
          <w:b/>
          <w:bCs/>
        </w:rPr>
      </w:pPr>
    </w:p>
    <w:p w14:paraId="6810270E"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4EB73C45" w14:textId="77777777" w:rsidR="00BC64CD" w:rsidRDefault="00BC64CD" w:rsidP="00BC64CD">
      <w:pPr>
        <w:pStyle w:val="Corpodetexto"/>
        <w:ind w:left="709" w:right="120" w:hanging="426"/>
        <w:jc w:val="both"/>
        <w:rPr>
          <w:rFonts w:ascii="Arial Narrow" w:hAnsi="Arial Narrow"/>
          <w:b/>
          <w:bCs/>
          <w:sz w:val="16"/>
        </w:rPr>
      </w:pPr>
    </w:p>
    <w:p w14:paraId="66900A64"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EEB8AAD" w14:textId="77777777" w:rsidR="00BC64CD" w:rsidRDefault="00BC64CD" w:rsidP="00BC64CD">
      <w:pPr>
        <w:pStyle w:val="PargrafodaLista"/>
        <w:ind w:left="709" w:hanging="426"/>
        <w:rPr>
          <w:rFonts w:ascii="Arial Narrow" w:hAnsi="Arial Narrow"/>
          <w:b/>
          <w:bCs/>
          <w:sz w:val="18"/>
        </w:rPr>
      </w:pPr>
    </w:p>
    <w:p w14:paraId="6D33DB59"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7972D0A0" w14:textId="77777777" w:rsidR="00BC64CD" w:rsidRDefault="00BC64CD" w:rsidP="00BC64CD">
      <w:pPr>
        <w:pStyle w:val="Corpodetexto"/>
        <w:ind w:left="709" w:right="120" w:hanging="567"/>
        <w:jc w:val="both"/>
        <w:rPr>
          <w:rFonts w:ascii="Arial Narrow" w:hAnsi="Arial Narrow"/>
          <w:b/>
          <w:bCs/>
          <w:sz w:val="16"/>
        </w:rPr>
      </w:pPr>
    </w:p>
    <w:p w14:paraId="44BA8E86"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43FA8305" w14:textId="77777777" w:rsidR="00BC64CD" w:rsidRDefault="00BC64CD" w:rsidP="00BC64CD">
      <w:pPr>
        <w:pStyle w:val="PargrafodaLista"/>
        <w:ind w:left="709"/>
        <w:rPr>
          <w:rFonts w:ascii="Arial Narrow" w:hAnsi="Arial Narrow"/>
          <w:b/>
          <w:bCs/>
          <w:sz w:val="18"/>
        </w:rPr>
      </w:pPr>
    </w:p>
    <w:p w14:paraId="7C813692" w14:textId="530C7E43"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F94AB1">
        <w:rPr>
          <w:rFonts w:ascii="Arial Narrow" w:hAnsi="Arial Narrow"/>
        </w:rPr>
        <w:t>trinta</w:t>
      </w:r>
      <w:r>
        <w:rPr>
          <w:rFonts w:ascii="Arial Narrow" w:hAnsi="Arial Narrow"/>
        </w:rPr>
        <w:t>) dias, a contar da data do recebimento da comunicação enviada pela autoridade competente.</w:t>
      </w:r>
    </w:p>
    <w:p w14:paraId="0417847E" w14:textId="77777777" w:rsidR="00BC64CD" w:rsidRDefault="00BC64CD" w:rsidP="00BC64CD">
      <w:pPr>
        <w:pStyle w:val="PargrafodaLista"/>
        <w:ind w:left="709" w:hanging="426"/>
        <w:rPr>
          <w:rFonts w:ascii="Arial Narrow" w:hAnsi="Arial Narrow"/>
          <w:b/>
          <w:bCs/>
          <w:sz w:val="18"/>
        </w:rPr>
      </w:pPr>
    </w:p>
    <w:p w14:paraId="15427638"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1BE0EC6" w14:textId="77777777" w:rsidR="00BC64CD" w:rsidRDefault="00BC64CD" w:rsidP="00BC64CD">
      <w:pPr>
        <w:pStyle w:val="Corpodetexto"/>
        <w:ind w:left="709" w:right="120" w:hanging="426"/>
        <w:jc w:val="both"/>
        <w:rPr>
          <w:rFonts w:ascii="Arial Narrow" w:hAnsi="Arial Narrow"/>
          <w:b/>
          <w:bCs/>
        </w:rPr>
      </w:pPr>
    </w:p>
    <w:p w14:paraId="63497FE5"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5BC565A"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75496C38"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1CC9A305"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7E7FC843"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07329D31"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BC5152D" w14:textId="77777777" w:rsidR="00BC64CD" w:rsidRDefault="00BC64CD" w:rsidP="00BC64CD">
      <w:pPr>
        <w:pStyle w:val="PargrafodaLista"/>
        <w:ind w:left="709" w:hanging="426"/>
        <w:rPr>
          <w:rFonts w:ascii="Arial Narrow" w:hAnsi="Arial Narrow"/>
          <w:b/>
          <w:bCs/>
          <w:sz w:val="18"/>
        </w:rPr>
      </w:pPr>
    </w:p>
    <w:p w14:paraId="12CA37EA"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2CFDA4E"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AF6DB6C" w14:textId="77777777" w:rsidR="00BC64CD" w:rsidRDefault="00BC64CD" w:rsidP="00BC64CD">
      <w:pPr>
        <w:pStyle w:val="PargrafodaLista"/>
        <w:ind w:left="709"/>
        <w:rPr>
          <w:rFonts w:ascii="Arial Narrow" w:hAnsi="Arial Narrow"/>
          <w:b/>
          <w:bCs/>
        </w:rPr>
      </w:pPr>
    </w:p>
    <w:p w14:paraId="5B4C8617"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21C1019D" w14:textId="77777777" w:rsidR="00BC64CD" w:rsidRDefault="00BC64CD" w:rsidP="00BC64CD">
      <w:pPr>
        <w:pStyle w:val="PargrafodaLista"/>
        <w:ind w:left="709"/>
        <w:rPr>
          <w:rFonts w:ascii="Arial Narrow" w:hAnsi="Arial Narrow"/>
          <w:b/>
          <w:bCs/>
        </w:rPr>
      </w:pPr>
    </w:p>
    <w:p w14:paraId="0467B509"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1998DB4F" w14:textId="77777777" w:rsidR="00BC64CD" w:rsidRDefault="00BC64CD" w:rsidP="00BC64CD">
      <w:pPr>
        <w:pStyle w:val="PargrafodaLista"/>
        <w:ind w:left="709"/>
        <w:rPr>
          <w:rFonts w:ascii="Arial Narrow" w:hAnsi="Arial Narrow"/>
          <w:b/>
          <w:bCs/>
        </w:rPr>
      </w:pPr>
    </w:p>
    <w:p w14:paraId="182232A7"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2FDF90C" w14:textId="77777777" w:rsidR="00BC64CD" w:rsidRDefault="00BC64CD" w:rsidP="00BC64CD">
      <w:pPr>
        <w:pStyle w:val="PargrafodaLista"/>
        <w:ind w:left="709"/>
        <w:rPr>
          <w:rFonts w:ascii="Arial Narrow" w:hAnsi="Arial Narrow"/>
          <w:b/>
          <w:bCs/>
        </w:rPr>
      </w:pPr>
    </w:p>
    <w:p w14:paraId="14482D09"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2FF4667F" w14:textId="77777777" w:rsidR="00BC64CD" w:rsidRDefault="00BC64CD" w:rsidP="00BC64CD">
      <w:pPr>
        <w:pStyle w:val="Corpodetexto"/>
        <w:ind w:left="567" w:right="120" w:hanging="425"/>
        <w:jc w:val="both"/>
        <w:rPr>
          <w:rFonts w:ascii="Arial Narrow" w:hAnsi="Arial Narrow"/>
          <w:b/>
          <w:bCs/>
        </w:rPr>
      </w:pPr>
    </w:p>
    <w:p w14:paraId="4E0CE0C4"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5F1795BE" w14:textId="77777777" w:rsidR="00BC64CD" w:rsidRDefault="00BC64CD" w:rsidP="00BC64CD">
      <w:pPr>
        <w:pStyle w:val="Corpodetexto"/>
        <w:ind w:left="567" w:right="120" w:hanging="425"/>
        <w:jc w:val="both"/>
        <w:rPr>
          <w:rFonts w:ascii="Arial Narrow" w:hAnsi="Arial Narrow"/>
          <w:b/>
          <w:bCs/>
        </w:rPr>
      </w:pPr>
    </w:p>
    <w:p w14:paraId="26D8925C"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5D73A252" w14:textId="77777777" w:rsidR="00BC64CD" w:rsidRDefault="00BC64CD" w:rsidP="00BC64CD">
      <w:pPr>
        <w:pStyle w:val="Corpodetexto"/>
        <w:ind w:left="567" w:right="120" w:hanging="425"/>
        <w:jc w:val="both"/>
        <w:rPr>
          <w:rFonts w:ascii="Arial Narrow" w:hAnsi="Arial Narrow"/>
          <w:b/>
          <w:bCs/>
        </w:rPr>
      </w:pPr>
    </w:p>
    <w:p w14:paraId="382707E5"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4C66A971" w14:textId="77777777" w:rsidR="00BC64CD" w:rsidRDefault="00BC64CD" w:rsidP="00BC64CD">
      <w:pPr>
        <w:pStyle w:val="Corpodetexto"/>
        <w:ind w:left="567" w:right="120" w:hanging="425"/>
        <w:jc w:val="both"/>
        <w:rPr>
          <w:rFonts w:ascii="Arial Narrow" w:hAnsi="Arial Narrow"/>
          <w:b/>
          <w:bCs/>
        </w:rPr>
      </w:pPr>
    </w:p>
    <w:p w14:paraId="197F384F"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409FE386" w14:textId="77777777" w:rsidR="00BC64CD" w:rsidRDefault="00BC64CD" w:rsidP="00BC64CD">
      <w:pPr>
        <w:pStyle w:val="PargrafodaLista"/>
        <w:ind w:left="567" w:hanging="425"/>
        <w:rPr>
          <w:rFonts w:ascii="Arial Narrow" w:hAnsi="Arial Narrow"/>
          <w:b/>
          <w:bCs/>
        </w:rPr>
      </w:pPr>
    </w:p>
    <w:p w14:paraId="50E867B1"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7EDECD3C" w14:textId="77777777" w:rsidR="00BC64CD" w:rsidRDefault="00BC64CD" w:rsidP="00BC64CD">
      <w:pPr>
        <w:pStyle w:val="PargrafodaLista"/>
        <w:ind w:left="567" w:hanging="425"/>
        <w:rPr>
          <w:rFonts w:ascii="Arial Narrow" w:hAnsi="Arial Narrow"/>
          <w:b/>
          <w:bCs/>
        </w:rPr>
      </w:pPr>
    </w:p>
    <w:p w14:paraId="44747221"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424B353A" w14:textId="77777777" w:rsidR="00BC64CD" w:rsidRDefault="00BC64CD" w:rsidP="00BC64CD">
      <w:pPr>
        <w:pStyle w:val="Corpodetexto"/>
        <w:ind w:left="567" w:right="120" w:hanging="425"/>
        <w:jc w:val="both"/>
        <w:rPr>
          <w:rFonts w:ascii="Arial Narrow" w:hAnsi="Arial Narrow"/>
          <w:b/>
          <w:bCs/>
        </w:rPr>
      </w:pPr>
    </w:p>
    <w:p w14:paraId="5A45D8B9"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44980534" w14:textId="77777777" w:rsidR="00BC64CD" w:rsidRDefault="00BC64CD" w:rsidP="00BC64CD">
      <w:pPr>
        <w:pStyle w:val="Corpodetexto"/>
        <w:ind w:left="567" w:right="120" w:hanging="425"/>
        <w:jc w:val="both"/>
        <w:rPr>
          <w:rFonts w:ascii="Arial Narrow" w:hAnsi="Arial Narrow"/>
        </w:rPr>
      </w:pPr>
    </w:p>
    <w:p w14:paraId="170C671F" w14:textId="2B28C4AB" w:rsidR="00BC64CD" w:rsidRDefault="00BC64CD" w:rsidP="00BC64CD">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560D9B14" w14:textId="77777777" w:rsidR="00F94AB1" w:rsidRDefault="00F94AB1" w:rsidP="00BC64CD">
      <w:pPr>
        <w:pStyle w:val="Corpodetexto"/>
        <w:ind w:left="567" w:right="120" w:hanging="425"/>
        <w:jc w:val="both"/>
        <w:rPr>
          <w:rFonts w:ascii="Arial Narrow" w:hAnsi="Arial Narrow"/>
        </w:rPr>
      </w:pPr>
    </w:p>
    <w:p w14:paraId="17E5B126" w14:textId="7AF2542B" w:rsidR="00F94AB1" w:rsidRDefault="00F94AB1" w:rsidP="00F94AB1">
      <w:pPr>
        <w:spacing w:line="276" w:lineRule="auto"/>
        <w:jc w:val="center"/>
        <w:rPr>
          <w:rFonts w:ascii="Arial Narrow" w:hAnsi="Arial Narrow"/>
        </w:rPr>
      </w:pPr>
      <w:r>
        <w:rPr>
          <w:rFonts w:ascii="Arial Narrow" w:hAnsi="Arial Narrow"/>
        </w:rPr>
        <w:t>Água Doce, SC, 19 de novembro de 2024.</w:t>
      </w:r>
    </w:p>
    <w:p w14:paraId="61C9C35D" w14:textId="77777777" w:rsidR="00F94AB1" w:rsidRDefault="00F94AB1" w:rsidP="00F94AB1">
      <w:pPr>
        <w:spacing w:line="276" w:lineRule="auto"/>
        <w:jc w:val="both"/>
        <w:rPr>
          <w:rFonts w:ascii="Arial Narrow" w:hAnsi="Arial Narrow"/>
        </w:rPr>
      </w:pPr>
    </w:p>
    <w:p w14:paraId="1458A858" w14:textId="77777777" w:rsidR="00F94AB1" w:rsidRDefault="00F94AB1" w:rsidP="00F94AB1">
      <w:pPr>
        <w:spacing w:line="276" w:lineRule="auto"/>
        <w:jc w:val="both"/>
        <w:rPr>
          <w:rFonts w:ascii="Arial Narrow" w:hAnsi="Arial Narrow"/>
        </w:rPr>
      </w:pPr>
    </w:p>
    <w:p w14:paraId="283EFE7A" w14:textId="77777777" w:rsidR="00F94AB1" w:rsidRDefault="00F94AB1" w:rsidP="00F94AB1">
      <w:pPr>
        <w:spacing w:line="276" w:lineRule="auto"/>
        <w:jc w:val="both"/>
        <w:rPr>
          <w:rFonts w:ascii="Arial Narrow" w:hAnsi="Arial Narrow"/>
        </w:rPr>
      </w:pPr>
    </w:p>
    <w:p w14:paraId="13B5653D" w14:textId="77777777" w:rsidR="00F94AB1" w:rsidRDefault="00F94AB1" w:rsidP="00F94AB1">
      <w:pPr>
        <w:spacing w:line="276" w:lineRule="auto"/>
        <w:jc w:val="both"/>
        <w:rPr>
          <w:rFonts w:ascii="Arial Narrow" w:hAnsi="Arial Narrow"/>
        </w:rPr>
      </w:pPr>
    </w:p>
    <w:p w14:paraId="30F9A39C" w14:textId="77777777" w:rsidR="00F94AB1" w:rsidRDefault="00F94AB1" w:rsidP="00F94AB1">
      <w:pPr>
        <w:spacing w:line="276" w:lineRule="auto"/>
        <w:jc w:val="both"/>
        <w:rPr>
          <w:rFonts w:ascii="Arial Narrow" w:hAnsi="Arial Narrow"/>
        </w:rPr>
      </w:pPr>
    </w:p>
    <w:p w14:paraId="74067854" w14:textId="77777777" w:rsidR="00F94AB1" w:rsidRDefault="00F94AB1" w:rsidP="00F94AB1">
      <w:pPr>
        <w:spacing w:line="276" w:lineRule="auto"/>
        <w:jc w:val="both"/>
        <w:rPr>
          <w:rFonts w:ascii="Arial Narrow" w:hAnsi="Arial Narrow"/>
        </w:rPr>
      </w:pPr>
    </w:p>
    <w:p w14:paraId="3743147E" w14:textId="77777777" w:rsidR="00F94AB1" w:rsidRDefault="00F94AB1" w:rsidP="00F94AB1">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F94AB1" w14:paraId="7495A81D" w14:textId="77777777" w:rsidTr="00F94AB1">
        <w:tc>
          <w:tcPr>
            <w:tcW w:w="4605" w:type="dxa"/>
            <w:vAlign w:val="center"/>
            <w:hideMark/>
          </w:tcPr>
          <w:p w14:paraId="237607DB" w14:textId="77777777" w:rsidR="00F94AB1" w:rsidRDefault="00F94AB1">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02182D7C" w14:textId="3F2CBCBB" w:rsidR="00F94AB1" w:rsidRDefault="002B77AF">
            <w:pPr>
              <w:spacing w:line="276" w:lineRule="auto"/>
              <w:jc w:val="center"/>
              <w:rPr>
                <w:rFonts w:ascii="Arial Narrow" w:hAnsi="Arial Narrow"/>
                <w:b/>
                <w:bCs/>
              </w:rPr>
            </w:pPr>
            <w:r w:rsidRPr="002B77AF">
              <w:rPr>
                <w:rFonts w:ascii="Arial Narrow" w:hAnsi="Arial Narrow"/>
                <w:b/>
                <w:bCs/>
              </w:rPr>
              <w:t>JOSUÉ ITALO LUCHESE PIAIA</w:t>
            </w:r>
          </w:p>
        </w:tc>
      </w:tr>
      <w:tr w:rsidR="00F94AB1" w14:paraId="126CFD3B" w14:textId="77777777" w:rsidTr="00F94AB1">
        <w:tc>
          <w:tcPr>
            <w:tcW w:w="4605" w:type="dxa"/>
            <w:vAlign w:val="center"/>
            <w:hideMark/>
          </w:tcPr>
          <w:p w14:paraId="2C5F57FA" w14:textId="77777777" w:rsidR="00F94AB1" w:rsidRDefault="00F94AB1">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60BECA8A" w14:textId="01682C0B" w:rsidR="00F94AB1" w:rsidRDefault="002B77AF">
            <w:pPr>
              <w:spacing w:line="276" w:lineRule="auto"/>
              <w:jc w:val="center"/>
              <w:rPr>
                <w:rFonts w:ascii="Arial Narrow" w:hAnsi="Arial Narrow"/>
              </w:rPr>
            </w:pPr>
            <w:r w:rsidRPr="002B77AF">
              <w:rPr>
                <w:rFonts w:ascii="Arial Narrow" w:hAnsi="Arial Narrow"/>
              </w:rPr>
              <w:t>Concretos Água Doce Ltda</w:t>
            </w:r>
          </w:p>
        </w:tc>
      </w:tr>
      <w:tr w:rsidR="00F94AB1" w14:paraId="1CEFD9BA" w14:textId="77777777" w:rsidTr="00F94AB1">
        <w:tc>
          <w:tcPr>
            <w:tcW w:w="4605" w:type="dxa"/>
            <w:vAlign w:val="center"/>
            <w:hideMark/>
          </w:tcPr>
          <w:p w14:paraId="7A3B85E4" w14:textId="77777777" w:rsidR="00F94AB1" w:rsidRDefault="00F94AB1">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588C6447" w14:textId="77777777" w:rsidR="00F94AB1" w:rsidRDefault="00F94AB1">
            <w:pPr>
              <w:spacing w:line="276" w:lineRule="auto"/>
              <w:jc w:val="center"/>
              <w:rPr>
                <w:rFonts w:ascii="Arial Narrow" w:hAnsi="Arial Narrow"/>
              </w:rPr>
            </w:pPr>
            <w:r>
              <w:rPr>
                <w:rFonts w:ascii="Arial Narrow" w:hAnsi="Arial Narrow"/>
                <w:bCs/>
              </w:rPr>
              <w:t>Contratada</w:t>
            </w:r>
          </w:p>
        </w:tc>
      </w:tr>
    </w:tbl>
    <w:p w14:paraId="3880778F" w14:textId="77777777" w:rsidR="00F94AB1" w:rsidRDefault="00F94AB1" w:rsidP="00F94AB1">
      <w:pPr>
        <w:spacing w:line="276" w:lineRule="auto"/>
        <w:jc w:val="both"/>
        <w:rPr>
          <w:rFonts w:ascii="Arial Narrow" w:hAnsi="Arial Narrow"/>
        </w:rPr>
      </w:pPr>
    </w:p>
    <w:p w14:paraId="33776B43" w14:textId="77777777" w:rsidR="00F94AB1" w:rsidRDefault="00F94AB1" w:rsidP="00F94AB1">
      <w:pPr>
        <w:spacing w:line="276" w:lineRule="auto"/>
        <w:jc w:val="both"/>
        <w:rPr>
          <w:rFonts w:ascii="Arial Narrow" w:hAnsi="Arial Narrow"/>
        </w:rPr>
      </w:pPr>
    </w:p>
    <w:p w14:paraId="075AB9AB" w14:textId="77777777" w:rsidR="00F94AB1" w:rsidRDefault="00F94AB1" w:rsidP="00F94AB1">
      <w:pPr>
        <w:spacing w:line="276" w:lineRule="auto"/>
        <w:jc w:val="center"/>
        <w:rPr>
          <w:rFonts w:ascii="Arial Narrow" w:hAnsi="Arial Narrow" w:cs="Arial"/>
          <w:bCs/>
        </w:rPr>
      </w:pPr>
      <w:r>
        <w:rPr>
          <w:rFonts w:ascii="Arial Narrow" w:hAnsi="Arial Narrow" w:cs="Arial"/>
          <w:bCs/>
        </w:rPr>
        <w:t xml:space="preserve">               </w:t>
      </w:r>
      <w:r>
        <w:rPr>
          <w:rFonts w:ascii="Arial Narrow" w:hAnsi="Arial Narrow" w:cs="Arial"/>
          <w:bCs/>
        </w:rPr>
        <w:tab/>
      </w:r>
    </w:p>
    <w:p w14:paraId="3E917DCF" w14:textId="77777777" w:rsidR="00F94AB1" w:rsidRDefault="00F94AB1" w:rsidP="00F94AB1">
      <w:pPr>
        <w:spacing w:line="276" w:lineRule="auto"/>
        <w:jc w:val="center"/>
        <w:rPr>
          <w:rFonts w:ascii="Arial Narrow" w:hAnsi="Arial Narrow"/>
          <w:bCs/>
        </w:rPr>
      </w:pPr>
      <w:r>
        <w:rPr>
          <w:rFonts w:ascii="Arial Narrow" w:hAnsi="Arial Narrow" w:cs="Arial"/>
          <w:bCs/>
        </w:rPr>
        <w:tab/>
        <w:t xml:space="preserve">        </w:t>
      </w:r>
    </w:p>
    <w:p w14:paraId="6E9439E0" w14:textId="77777777" w:rsidR="00F94AB1" w:rsidRDefault="00F94AB1" w:rsidP="00F94AB1">
      <w:pPr>
        <w:spacing w:line="276" w:lineRule="auto"/>
        <w:rPr>
          <w:rFonts w:ascii="Arial Narrow" w:hAnsi="Arial Narrow"/>
          <w:color w:val="FF0000"/>
        </w:rPr>
      </w:pPr>
    </w:p>
    <w:p w14:paraId="477D31BF" w14:textId="77777777" w:rsidR="00F94AB1" w:rsidRDefault="00F94AB1" w:rsidP="00F94AB1">
      <w:pPr>
        <w:spacing w:line="276" w:lineRule="auto"/>
        <w:jc w:val="both"/>
        <w:rPr>
          <w:rFonts w:ascii="Arial Narrow" w:hAnsi="Arial Narrow"/>
          <w:color w:val="FF0000"/>
        </w:rPr>
      </w:pPr>
    </w:p>
    <w:p w14:paraId="28EA5177" w14:textId="77777777" w:rsidR="00F94AB1" w:rsidRDefault="00F94AB1" w:rsidP="00F94AB1">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40441D58" w14:textId="77777777" w:rsidR="00F94AB1" w:rsidRDefault="00F94AB1" w:rsidP="00F94AB1">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10268E04" w14:textId="77777777" w:rsidR="00F94AB1" w:rsidRDefault="00F94AB1" w:rsidP="00F94AB1">
      <w:pPr>
        <w:autoSpaceDE w:val="0"/>
        <w:autoSpaceDN w:val="0"/>
        <w:adjustRightInd w:val="0"/>
        <w:spacing w:line="276" w:lineRule="auto"/>
        <w:jc w:val="cente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52E6"/>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B77AF"/>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C64CD"/>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 w:val="00F94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BC64CD"/>
    <w:rPr>
      <w:rFonts w:ascii="Arial MT" w:eastAsia="Arial MT" w:hAnsi="Arial MT" w:cs="Arial MT"/>
      <w:lang w:val="pt-PT"/>
    </w:rPr>
  </w:style>
  <w:style w:type="paragraph" w:styleId="PargrafodaLista">
    <w:name w:val="List Paragraph"/>
    <w:basedOn w:val="Normal"/>
    <w:link w:val="PargrafodaListaChar"/>
    <w:uiPriority w:val="34"/>
    <w:qFormat/>
    <w:rsid w:val="00BC64CD"/>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BC64CD"/>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BC64C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0531">
      <w:bodyDiv w:val="1"/>
      <w:marLeft w:val="0"/>
      <w:marRight w:val="0"/>
      <w:marTop w:val="0"/>
      <w:marBottom w:val="0"/>
      <w:divBdr>
        <w:top w:val="none" w:sz="0" w:space="0" w:color="auto"/>
        <w:left w:val="none" w:sz="0" w:space="0" w:color="auto"/>
        <w:bottom w:val="none" w:sz="0" w:space="0" w:color="auto"/>
        <w:right w:val="none" w:sz="0" w:space="0" w:color="auto"/>
      </w:divBdr>
    </w:div>
    <w:div w:id="390077841">
      <w:bodyDiv w:val="1"/>
      <w:marLeft w:val="0"/>
      <w:marRight w:val="0"/>
      <w:marTop w:val="0"/>
      <w:marBottom w:val="0"/>
      <w:divBdr>
        <w:top w:val="none" w:sz="0" w:space="0" w:color="auto"/>
        <w:left w:val="none" w:sz="0" w:space="0" w:color="auto"/>
        <w:bottom w:val="none" w:sz="0" w:space="0" w:color="auto"/>
        <w:right w:val="none" w:sz="0" w:space="0" w:color="auto"/>
      </w:divBdr>
    </w:div>
    <w:div w:id="408160846">
      <w:bodyDiv w:val="1"/>
      <w:marLeft w:val="0"/>
      <w:marRight w:val="0"/>
      <w:marTop w:val="0"/>
      <w:marBottom w:val="0"/>
      <w:divBdr>
        <w:top w:val="none" w:sz="0" w:space="0" w:color="auto"/>
        <w:left w:val="none" w:sz="0" w:space="0" w:color="auto"/>
        <w:bottom w:val="none" w:sz="0" w:space="0" w:color="auto"/>
        <w:right w:val="none" w:sz="0" w:space="0" w:color="auto"/>
      </w:divBdr>
    </w:div>
    <w:div w:id="477845562">
      <w:bodyDiv w:val="1"/>
      <w:marLeft w:val="0"/>
      <w:marRight w:val="0"/>
      <w:marTop w:val="0"/>
      <w:marBottom w:val="0"/>
      <w:divBdr>
        <w:top w:val="none" w:sz="0" w:space="0" w:color="auto"/>
        <w:left w:val="none" w:sz="0" w:space="0" w:color="auto"/>
        <w:bottom w:val="none" w:sz="0" w:space="0" w:color="auto"/>
        <w:right w:val="none" w:sz="0" w:space="0" w:color="auto"/>
      </w:divBdr>
    </w:div>
    <w:div w:id="21383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4449</Words>
  <Characters>24183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2024-11-19T18:43:00Z</cp:lastPrinted>
  <dcterms:created xsi:type="dcterms:W3CDTF">2024-11-19T18:23:00Z</dcterms:created>
  <dcterms:modified xsi:type="dcterms:W3CDTF">2024-11-19T18:43:00Z</dcterms:modified>
</cp:coreProperties>
</file>