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7132" w14:textId="53A5F446" w:rsidR="00A46ECA" w:rsidRDefault="00A46ECA" w:rsidP="008B0D14">
      <w:pPr>
        <w:pStyle w:val="Corpodetexto"/>
        <w:spacing w:line="276" w:lineRule="auto"/>
        <w:ind w:left="405" w:right="405"/>
        <w:jc w:val="center"/>
        <w:rPr>
          <w:rFonts w:ascii="Arial Narrow" w:hAnsi="Arial Narrow"/>
          <w:b/>
          <w:bCs/>
          <w:color w:val="000000" w:themeColor="text1"/>
        </w:rPr>
      </w:pPr>
      <w:r>
        <w:rPr>
          <w:rFonts w:ascii="Arial Narrow" w:hAnsi="Arial Narrow" w:cs="Arial"/>
          <w:b/>
          <w:color w:val="000000" w:themeColor="text1"/>
        </w:rPr>
        <w:t xml:space="preserve">ATA DE REGISTRO DE PREÇOS </w:t>
      </w:r>
      <w:r>
        <w:rPr>
          <w:rFonts w:ascii="Arial Narrow" w:hAnsi="Arial Narrow"/>
          <w:b/>
          <w:bCs/>
          <w:color w:val="000000" w:themeColor="text1"/>
        </w:rPr>
        <w:t xml:space="preserve">N. </w:t>
      </w:r>
      <w:r w:rsidR="008B0D14">
        <w:rPr>
          <w:rFonts w:ascii="Arial Narrow" w:hAnsi="Arial Narrow"/>
          <w:b/>
          <w:bCs/>
          <w:color w:val="000000" w:themeColor="text1"/>
        </w:rPr>
        <w:t>12</w:t>
      </w:r>
      <w:r>
        <w:rPr>
          <w:rFonts w:ascii="Arial Narrow" w:hAnsi="Arial Narrow"/>
          <w:b/>
          <w:bCs/>
          <w:color w:val="000000" w:themeColor="text1"/>
        </w:rPr>
        <w:t xml:space="preserve">/2025 DE </w:t>
      </w:r>
      <w:r>
        <w:rPr>
          <w:rFonts w:ascii="Arial Narrow" w:hAnsi="Arial Narrow"/>
          <w:b/>
          <w:bCs/>
          <w:color w:val="000000" w:themeColor="text1"/>
        </w:rPr>
        <w:t>21/02</w:t>
      </w:r>
      <w:r>
        <w:rPr>
          <w:rFonts w:ascii="Arial Narrow" w:hAnsi="Arial Narrow"/>
          <w:b/>
          <w:bCs/>
          <w:color w:val="000000" w:themeColor="text1"/>
        </w:rPr>
        <w:t>/2025</w:t>
      </w:r>
    </w:p>
    <w:p w14:paraId="2FBC57F8" w14:textId="63F3F879" w:rsidR="00A46ECA" w:rsidRDefault="00A46ECA" w:rsidP="008B0D14">
      <w:pPr>
        <w:pStyle w:val="Corpodetexto"/>
        <w:spacing w:line="276" w:lineRule="auto"/>
        <w:ind w:left="405" w:right="405"/>
        <w:jc w:val="center"/>
        <w:rPr>
          <w:rFonts w:ascii="Arial Narrow" w:hAnsi="Arial Narrow" w:cs="Arial"/>
          <w:b/>
          <w:color w:val="000000" w:themeColor="text1"/>
        </w:rPr>
      </w:pPr>
    </w:p>
    <w:p w14:paraId="21901333" w14:textId="77777777" w:rsidR="008B0D14" w:rsidRDefault="008B0D14" w:rsidP="008B0D14">
      <w:pPr>
        <w:pStyle w:val="Corpodetexto"/>
        <w:spacing w:line="276" w:lineRule="auto"/>
        <w:ind w:left="405" w:right="405"/>
        <w:jc w:val="center"/>
        <w:rPr>
          <w:rFonts w:ascii="Arial Narrow" w:hAnsi="Arial Narrow" w:cs="Arial"/>
          <w:b/>
          <w:color w:val="000000" w:themeColor="text1"/>
        </w:rPr>
      </w:pPr>
    </w:p>
    <w:p w14:paraId="01B87958" w14:textId="32D53DA3" w:rsidR="00A46ECA" w:rsidRDefault="00A46ECA" w:rsidP="008B0D14">
      <w:pPr>
        <w:spacing w:line="276" w:lineRule="auto"/>
        <w:ind w:left="142" w:right="120"/>
        <w:jc w:val="both"/>
        <w:rPr>
          <w:rFonts w:ascii="Arial Narrow" w:hAnsi="Arial Narrow" w:cs="Arial MT"/>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SECRETARIA DE ADMINISTRAÇÃO E FAZENDA</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Dispensa Eletrônica n. </w:t>
      </w:r>
      <w:r w:rsidR="008B0D14">
        <w:rPr>
          <w:rFonts w:ascii="Arial Narrow" w:hAnsi="Arial Narrow"/>
        </w:rPr>
        <w:t>01</w:t>
      </w:r>
      <w:r>
        <w:rPr>
          <w:rFonts w:ascii="Arial Narrow" w:hAnsi="Arial Narrow"/>
        </w:rPr>
        <w:t xml:space="preserve">/2025/PMAD – Processo Licitatório n. </w:t>
      </w:r>
      <w:r w:rsidR="008B0D14">
        <w:rPr>
          <w:rFonts w:ascii="Arial Narrow" w:hAnsi="Arial Narrow"/>
        </w:rPr>
        <w:t>16</w:t>
      </w:r>
      <w:r>
        <w:rPr>
          <w:rFonts w:ascii="Arial Narrow" w:hAnsi="Arial Narrow"/>
        </w:rPr>
        <w:t xml:space="preserve">/2025/PMAD, RESOLVE registrar os preços da Empresa </w:t>
      </w:r>
      <w:r w:rsidR="008B0D14" w:rsidRPr="008B0D14">
        <w:rPr>
          <w:rFonts w:ascii="Arial Narrow" w:hAnsi="Arial Narrow"/>
          <w:b/>
          <w:bCs/>
        </w:rPr>
        <w:t>GLOBALSEC TECNOLOGIA DA INFORMACAO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8B0D14" w:rsidRPr="008B0D14">
        <w:rPr>
          <w:rFonts w:ascii="Arial Narrow" w:hAnsi="Arial Narrow"/>
        </w:rPr>
        <w:t>43.690.572/0001-52</w:t>
      </w:r>
      <w:r>
        <w:rPr>
          <w:rFonts w:ascii="Arial Narrow" w:hAnsi="Arial Narrow"/>
        </w:rPr>
        <w:t xml:space="preserve"> estabelecida na </w:t>
      </w:r>
      <w:r w:rsidR="008B0D14" w:rsidRPr="008B0D14">
        <w:rPr>
          <w:rFonts w:ascii="Arial Narrow" w:hAnsi="Arial Narrow"/>
        </w:rPr>
        <w:t>R</w:t>
      </w:r>
      <w:r w:rsidR="008B0D14">
        <w:rPr>
          <w:rFonts w:ascii="Arial Narrow" w:hAnsi="Arial Narrow"/>
        </w:rPr>
        <w:t>ua</w:t>
      </w:r>
      <w:r w:rsidR="008B0D14" w:rsidRPr="008B0D14">
        <w:rPr>
          <w:rFonts w:ascii="Arial Narrow" w:hAnsi="Arial Narrow"/>
        </w:rPr>
        <w:t xml:space="preserve"> </w:t>
      </w:r>
      <w:r w:rsidR="008B0D14" w:rsidRPr="008B0D14">
        <w:rPr>
          <w:rFonts w:ascii="Arial Narrow" w:hAnsi="Arial Narrow"/>
        </w:rPr>
        <w:t>Bento Goncalves</w:t>
      </w:r>
      <w:r>
        <w:rPr>
          <w:rFonts w:ascii="Arial Narrow" w:hAnsi="Arial Narrow"/>
        </w:rPr>
        <w:t>, Bairro</w:t>
      </w:r>
      <w:r w:rsidR="008B0D14">
        <w:rPr>
          <w:rFonts w:ascii="Arial Narrow" w:hAnsi="Arial Narrow"/>
        </w:rPr>
        <w:t xml:space="preserve"> Centro</w:t>
      </w:r>
      <w:r>
        <w:rPr>
          <w:rFonts w:ascii="Arial Narrow" w:hAnsi="Arial Narrow"/>
        </w:rPr>
        <w:t xml:space="preserve">, no Município de </w:t>
      </w:r>
      <w:r w:rsidR="008B0D14">
        <w:rPr>
          <w:rFonts w:ascii="Arial Narrow" w:hAnsi="Arial Narrow"/>
        </w:rPr>
        <w:t>São Leopoldo (RS)</w:t>
      </w:r>
      <w:r>
        <w:rPr>
          <w:rFonts w:ascii="Arial Narrow" w:hAnsi="Arial Narrow"/>
        </w:rPr>
        <w:t xml:space="preserve">, neste ato representada pelo Sr. </w:t>
      </w:r>
      <w:r w:rsidR="008B0D14" w:rsidRPr="008B0D14">
        <w:rPr>
          <w:rFonts w:ascii="Arial Narrow" w:hAnsi="Arial Narrow"/>
        </w:rPr>
        <w:t>Rafael Mendes de Carvalho</w:t>
      </w:r>
      <w:r>
        <w:rPr>
          <w:rFonts w:ascii="Arial Narrow" w:hAnsi="Arial Narrow"/>
        </w:rPr>
        <w:t xml:space="preserve">, inscrito(a) no CPF sob o nº </w:t>
      </w:r>
      <w:r w:rsidR="008B0D14" w:rsidRPr="008B0D14">
        <w:rPr>
          <w:rFonts w:ascii="Arial Narrow" w:hAnsi="Arial Narrow"/>
        </w:rPr>
        <w:t>068.016.696-30</w:t>
      </w:r>
      <w:r>
        <w:rPr>
          <w:rFonts w:ascii="Arial Narrow" w:hAnsi="Arial Narrow"/>
        </w:rPr>
        <w:t xml:space="preserve">, de acordo com a classificação por ela alcançada e </w:t>
      </w:r>
      <w:r w:rsidR="008B0D14">
        <w:rPr>
          <w:rFonts w:ascii="Arial Narrow" w:hAnsi="Arial Narrow"/>
        </w:rPr>
        <w:t>n</w:t>
      </w:r>
      <w:r>
        <w:rPr>
          <w:rFonts w:ascii="Arial Narrow" w:hAnsi="Arial Narrow"/>
        </w:rPr>
        <w:t>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1D13C950" w14:textId="695B94BF" w:rsidR="00A46ECA" w:rsidRDefault="00A46ECA" w:rsidP="008B0D14">
      <w:pPr>
        <w:spacing w:line="276" w:lineRule="auto"/>
        <w:ind w:left="142" w:right="120"/>
        <w:jc w:val="both"/>
        <w:rPr>
          <w:rFonts w:ascii="Arial Narrow" w:hAnsi="Arial Narrow"/>
        </w:rPr>
      </w:pPr>
    </w:p>
    <w:p w14:paraId="79664863" w14:textId="77777777" w:rsidR="008B0D14" w:rsidRDefault="008B0D14" w:rsidP="008B0D14">
      <w:pPr>
        <w:spacing w:line="276" w:lineRule="auto"/>
        <w:ind w:left="142" w:right="120"/>
        <w:jc w:val="both"/>
        <w:rPr>
          <w:rFonts w:ascii="Arial Narrow" w:hAnsi="Arial Narrow"/>
        </w:rPr>
      </w:pPr>
    </w:p>
    <w:p w14:paraId="1B1EB937"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 xml:space="preserve">DO OBJETO </w:t>
      </w:r>
    </w:p>
    <w:p w14:paraId="04B4317A" w14:textId="77777777" w:rsidR="00A46ECA" w:rsidRDefault="00A46ECA" w:rsidP="008B0D14">
      <w:pPr>
        <w:spacing w:line="276" w:lineRule="auto"/>
        <w:ind w:left="142" w:right="120"/>
        <w:jc w:val="both"/>
        <w:rPr>
          <w:rFonts w:ascii="Arial Narrow" w:hAnsi="Arial Narrow"/>
        </w:rPr>
      </w:pPr>
    </w:p>
    <w:p w14:paraId="0FDAB52B" w14:textId="77777777" w:rsidR="00A46ECA" w:rsidRDefault="00A46ECA" w:rsidP="008B0D14">
      <w:pPr>
        <w:pStyle w:val="PargrafodaLista"/>
        <w:numPr>
          <w:ilvl w:val="1"/>
          <w:numId w:val="16"/>
        </w:numPr>
        <w:spacing w:line="276" w:lineRule="auto"/>
        <w:ind w:left="567" w:right="120"/>
        <w:rPr>
          <w:rFonts w:ascii="Arial Narrow" w:hAnsi="Arial Narrow" w:cs="Arial"/>
          <w:bCs/>
          <w:sz w:val="18"/>
        </w:rPr>
      </w:pPr>
      <w:r>
        <w:rPr>
          <w:rFonts w:ascii="Arial Narrow" w:hAnsi="Arial Narrow" w:cs="Arial"/>
        </w:rPr>
        <w:t>Registro de Preços para aquisição eventual de Certificados Digitais para uso da Prefeitura de Água Doce e Fundos Municipais.</w:t>
      </w:r>
    </w:p>
    <w:p w14:paraId="5464EDAA" w14:textId="77777777" w:rsidR="00A46ECA" w:rsidRDefault="00A46ECA" w:rsidP="008B0D14">
      <w:pPr>
        <w:spacing w:line="276" w:lineRule="auto"/>
        <w:ind w:left="207" w:right="120"/>
        <w:rPr>
          <w:rFonts w:ascii="Arial Narrow" w:hAnsi="Arial Narrow" w:cs="Arial"/>
          <w:bCs/>
          <w:sz w:val="18"/>
        </w:rPr>
      </w:pPr>
    </w:p>
    <w:p w14:paraId="3EFE71B1"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cs="Arial MT"/>
          <w:b/>
          <w:bCs/>
        </w:rPr>
      </w:pPr>
      <w:r>
        <w:rPr>
          <w:rFonts w:ascii="Arial Narrow" w:hAnsi="Arial Narrow"/>
          <w:b/>
          <w:bCs/>
        </w:rPr>
        <w:t>DA FORMA DE EXECUÇÃO</w:t>
      </w:r>
    </w:p>
    <w:p w14:paraId="425C7276" w14:textId="77777777" w:rsidR="00A46ECA" w:rsidRDefault="00A46ECA" w:rsidP="008B0D14">
      <w:pPr>
        <w:spacing w:line="276" w:lineRule="auto"/>
        <w:ind w:left="567" w:right="120"/>
        <w:jc w:val="both"/>
        <w:rPr>
          <w:rFonts w:ascii="Arial Narrow" w:hAnsi="Arial Narrow"/>
          <w:b/>
          <w:bCs/>
        </w:rPr>
      </w:pPr>
    </w:p>
    <w:p w14:paraId="6F9FE691"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Caberá a proponente vencedora obedecer ao objeto do presente edital e as disposições legais contratuais, prestando-os dentro dos padrões de qualidade.</w:t>
      </w:r>
    </w:p>
    <w:p w14:paraId="645D3060" w14:textId="77777777" w:rsidR="00A46ECA" w:rsidRDefault="00A46ECA" w:rsidP="008B0D14">
      <w:pPr>
        <w:pStyle w:val="PargrafodaLista"/>
        <w:spacing w:line="276" w:lineRule="auto"/>
        <w:ind w:firstLine="0"/>
        <w:rPr>
          <w:rFonts w:ascii="Arial Narrow" w:hAnsi="Arial Narrow" w:cstheme="majorHAnsi"/>
          <w:szCs w:val="23"/>
        </w:rPr>
      </w:pPr>
    </w:p>
    <w:p w14:paraId="6615BBB3"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b/>
          <w:bCs/>
          <w:szCs w:val="23"/>
        </w:rPr>
        <w:t>A fim de facilitar o cadastro e coleta das impressões digitais dos seus portadores, a empresa ganhadora deverá possuir ponto de atendimento no município de Água Doce/SC.</w:t>
      </w:r>
    </w:p>
    <w:p w14:paraId="6ACEA049" w14:textId="77777777" w:rsidR="00A46ECA" w:rsidRDefault="00A46ECA" w:rsidP="008B0D14">
      <w:pPr>
        <w:spacing w:line="276" w:lineRule="auto"/>
        <w:rPr>
          <w:rFonts w:ascii="Arial Narrow" w:hAnsi="Arial Narrow" w:cstheme="majorHAnsi"/>
          <w:szCs w:val="23"/>
        </w:rPr>
      </w:pPr>
    </w:p>
    <w:p w14:paraId="13E7FDB1"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Os certificados digitais e-CPF e-CNPJ deverão ser emitidos por ente credenciado pela ICP-Brasil (Infraestrutura de Chaves Públicas Brasileira).</w:t>
      </w:r>
    </w:p>
    <w:p w14:paraId="45FC3BCD" w14:textId="77777777" w:rsidR="00A46ECA" w:rsidRDefault="00A46ECA" w:rsidP="008B0D14">
      <w:pPr>
        <w:spacing w:line="276" w:lineRule="auto"/>
        <w:rPr>
          <w:rFonts w:ascii="Arial Narrow" w:hAnsi="Arial Narrow" w:cstheme="majorHAnsi"/>
          <w:szCs w:val="23"/>
        </w:rPr>
      </w:pPr>
    </w:p>
    <w:p w14:paraId="788F12C4"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b/>
          <w:bCs/>
          <w:szCs w:val="23"/>
        </w:rPr>
        <w:t>O prazo de entrega deverá ser de até 24 (vinte e quatro) horas após o recebimento da Solicitação de Fornecimento.</w:t>
      </w:r>
    </w:p>
    <w:p w14:paraId="23CFED9A" w14:textId="77777777" w:rsidR="00A46ECA" w:rsidRDefault="00A46ECA" w:rsidP="008B0D14">
      <w:pPr>
        <w:spacing w:line="276" w:lineRule="auto"/>
        <w:rPr>
          <w:rFonts w:ascii="Arial Narrow" w:hAnsi="Arial Narrow" w:cstheme="majorHAnsi"/>
          <w:szCs w:val="23"/>
        </w:rPr>
      </w:pPr>
      <w:r>
        <w:rPr>
          <w:rFonts w:ascii="Arial Narrow" w:hAnsi="Arial Narrow" w:cstheme="majorHAnsi"/>
          <w:b/>
          <w:bCs/>
          <w:szCs w:val="23"/>
        </w:rPr>
        <w:t xml:space="preserve"> </w:t>
      </w:r>
    </w:p>
    <w:p w14:paraId="7ADB0548"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A empresa ganhadora deverá entregar os certificados digitais conforme as especificações técnicas exigidas,</w:t>
      </w:r>
      <w:r>
        <w:rPr>
          <w:rFonts w:ascii="Arial Narrow" w:hAnsi="Arial Narrow"/>
          <w:sz w:val="18"/>
        </w:rPr>
        <w:t xml:space="preserve"> </w:t>
      </w:r>
      <w:r>
        <w:rPr>
          <w:rFonts w:ascii="Arial Narrow" w:hAnsi="Arial Narrow" w:cstheme="majorHAnsi"/>
          <w:szCs w:val="23"/>
        </w:rPr>
        <w:t>acondicionando adequadamente, de forma a permitir a completa segurança durante o transporte.</w:t>
      </w:r>
    </w:p>
    <w:p w14:paraId="3F66A147" w14:textId="77777777" w:rsidR="00A46ECA" w:rsidRDefault="00A46ECA" w:rsidP="008B0D14">
      <w:pPr>
        <w:spacing w:line="276" w:lineRule="auto"/>
        <w:rPr>
          <w:rFonts w:ascii="Arial Narrow" w:hAnsi="Arial Narrow" w:cstheme="majorHAnsi"/>
          <w:szCs w:val="23"/>
        </w:rPr>
      </w:pPr>
    </w:p>
    <w:p w14:paraId="5F460006"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A empresa deverá entregar os certificados digitais acompanhados de todas as mídias necessárias para sua instalação, reinstalação e operação, tais como chaves, senhas, números de identificação, entre outros.</w:t>
      </w:r>
    </w:p>
    <w:p w14:paraId="1B7BE137" w14:textId="77777777" w:rsidR="00A46ECA" w:rsidRDefault="00A46ECA" w:rsidP="008B0D14">
      <w:pPr>
        <w:spacing w:line="276" w:lineRule="auto"/>
        <w:rPr>
          <w:rFonts w:ascii="Arial Narrow" w:hAnsi="Arial Narrow" w:cstheme="majorHAnsi"/>
          <w:szCs w:val="23"/>
        </w:rPr>
      </w:pPr>
    </w:p>
    <w:p w14:paraId="7A7BB832"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Os produtos em desacordo com as especificações deste Termo de Referência e/ou com defeito serão devolvidos para substituição pela empresa.</w:t>
      </w:r>
    </w:p>
    <w:p w14:paraId="77563F5C" w14:textId="77777777" w:rsidR="00A46ECA" w:rsidRDefault="00A46ECA" w:rsidP="008B0D14">
      <w:pPr>
        <w:spacing w:line="276" w:lineRule="auto"/>
        <w:rPr>
          <w:rFonts w:ascii="Arial Narrow" w:hAnsi="Arial Narrow" w:cstheme="majorHAnsi"/>
          <w:szCs w:val="23"/>
        </w:rPr>
      </w:pPr>
    </w:p>
    <w:p w14:paraId="42C9AD86"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A empresa deverá executar os serviços em conformidade com as melhores práticas para emissão de certificados digitais e de acordo com as regras estabelecidas pela ICP-Brasil (Infraestrutura de Chaves Públicas Brasileira).</w:t>
      </w:r>
    </w:p>
    <w:p w14:paraId="4E12C652" w14:textId="77777777" w:rsidR="00A46ECA" w:rsidRDefault="00A46ECA" w:rsidP="008B0D14">
      <w:pPr>
        <w:spacing w:line="276" w:lineRule="auto"/>
        <w:rPr>
          <w:rFonts w:ascii="Arial Narrow" w:hAnsi="Arial Narrow" w:cstheme="majorHAnsi"/>
          <w:szCs w:val="23"/>
        </w:rPr>
      </w:pPr>
    </w:p>
    <w:p w14:paraId="414F0D0F"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lastRenderedPageBreak/>
        <w:t>Os dados recebidos pela empresa deverão ser tratados conforme o que regulamenta a Lei Geral de Proteção de Dados Pessoais (Lei Federal nº 13.709/2018).</w:t>
      </w:r>
    </w:p>
    <w:p w14:paraId="10B4C70D" w14:textId="77777777" w:rsidR="00A46ECA" w:rsidRDefault="00A46ECA" w:rsidP="008B0D14">
      <w:pPr>
        <w:spacing w:line="276" w:lineRule="auto"/>
        <w:rPr>
          <w:rFonts w:ascii="Arial Narrow" w:hAnsi="Arial Narrow" w:cstheme="majorHAnsi"/>
          <w:szCs w:val="23"/>
        </w:rPr>
      </w:pPr>
    </w:p>
    <w:p w14:paraId="024505F5" w14:textId="77777777"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A garantia deverá cobrir o tempo de vigência do certificado digital, incluindo o token (quando aplicável) e em caso de defeito, vício ou problemas de natureza externa à utilização (exceto ao mau uso) o fornecedor deverá substituir o objeto.</w:t>
      </w:r>
    </w:p>
    <w:p w14:paraId="2D023F61" w14:textId="77777777" w:rsidR="00A46ECA" w:rsidRDefault="00A46ECA" w:rsidP="008B0D14">
      <w:pPr>
        <w:spacing w:line="276" w:lineRule="auto"/>
        <w:rPr>
          <w:rFonts w:ascii="Arial Narrow" w:hAnsi="Arial Narrow" w:cstheme="majorHAnsi"/>
          <w:szCs w:val="23"/>
        </w:rPr>
      </w:pPr>
    </w:p>
    <w:p w14:paraId="4A4628A2" w14:textId="343BF916" w:rsidR="00A46ECA" w:rsidRDefault="00A46ECA" w:rsidP="008B0D14">
      <w:pPr>
        <w:pStyle w:val="PargrafodaLista"/>
        <w:numPr>
          <w:ilvl w:val="1"/>
          <w:numId w:val="16"/>
        </w:numPr>
        <w:spacing w:line="276" w:lineRule="auto"/>
        <w:rPr>
          <w:rFonts w:ascii="Arial Narrow" w:hAnsi="Arial Narrow" w:cstheme="majorHAnsi"/>
          <w:szCs w:val="23"/>
        </w:rPr>
      </w:pPr>
      <w:r>
        <w:rPr>
          <w:rFonts w:ascii="Arial Narrow" w:hAnsi="Arial Narrow" w:cstheme="majorHAnsi"/>
          <w:szCs w:val="23"/>
        </w:rPr>
        <w:t>A empresa deverá fornecer suporte online para emissão e instalação, bem como das cadeias do certificado no computador, quando necessário.</w:t>
      </w:r>
    </w:p>
    <w:p w14:paraId="7BCF87A5" w14:textId="77777777" w:rsidR="00A46ECA" w:rsidRPr="00A46ECA" w:rsidRDefault="00A46ECA" w:rsidP="008B0D14">
      <w:pPr>
        <w:spacing w:line="276" w:lineRule="auto"/>
        <w:rPr>
          <w:rFonts w:ascii="Arial Narrow" w:hAnsi="Arial Narrow" w:cstheme="majorHAnsi"/>
          <w:szCs w:val="23"/>
        </w:rPr>
      </w:pPr>
    </w:p>
    <w:p w14:paraId="0091A8C5"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cs="Arial MT"/>
          <w:b/>
          <w:bCs/>
        </w:rPr>
      </w:pPr>
      <w:r>
        <w:rPr>
          <w:rFonts w:ascii="Arial Narrow" w:hAnsi="Arial Narrow"/>
          <w:b/>
          <w:bCs/>
        </w:rPr>
        <w:t>DO PRAZO DE VIGÊNCIA</w:t>
      </w:r>
    </w:p>
    <w:p w14:paraId="6F043FD7" w14:textId="77777777" w:rsidR="00A46ECA" w:rsidRDefault="00A46ECA" w:rsidP="008B0D14">
      <w:pPr>
        <w:spacing w:line="276" w:lineRule="auto"/>
        <w:ind w:left="502" w:right="120"/>
        <w:jc w:val="both"/>
        <w:rPr>
          <w:rFonts w:ascii="Arial Narrow" w:hAnsi="Arial Narrow"/>
          <w:b/>
          <w:bCs/>
        </w:rPr>
      </w:pPr>
    </w:p>
    <w:p w14:paraId="111216BE"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7DFF2ACC" w14:textId="77777777" w:rsidR="00A46ECA" w:rsidRDefault="00A46ECA" w:rsidP="008B0D14">
      <w:pPr>
        <w:spacing w:line="276" w:lineRule="auto"/>
        <w:ind w:left="502" w:right="120"/>
        <w:jc w:val="both"/>
        <w:rPr>
          <w:rFonts w:ascii="Arial Narrow" w:hAnsi="Arial Narrow"/>
          <w:b/>
          <w:bCs/>
        </w:rPr>
      </w:pPr>
    </w:p>
    <w:p w14:paraId="4119C1A8"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14271317" w14:textId="77777777" w:rsidR="00A46ECA" w:rsidRDefault="00A46ECA" w:rsidP="008B0D14">
      <w:pPr>
        <w:pStyle w:val="Corpodetexto"/>
        <w:spacing w:line="276" w:lineRule="auto"/>
        <w:rPr>
          <w:rFonts w:ascii="Arial Narrow" w:hAnsi="Arial Narrow"/>
          <w:b/>
          <w:bCs/>
        </w:rPr>
      </w:pPr>
    </w:p>
    <w:p w14:paraId="3A1410A7" w14:textId="5204D609"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2ECFB275" w14:textId="77777777" w:rsidR="00A46ECA" w:rsidRDefault="00A46ECA" w:rsidP="008B0D14">
      <w:pPr>
        <w:pStyle w:val="Corpodetexto"/>
        <w:spacing w:line="276" w:lineRule="auto"/>
        <w:rPr>
          <w:rFonts w:ascii="Arial Narrow" w:hAnsi="Arial Narrow"/>
          <w:b/>
          <w:bCs/>
        </w:rPr>
      </w:pPr>
    </w:p>
    <w:p w14:paraId="70FDF989"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DOS PREÇOS, ESPECIFICAÇÕES E QUANTITATIVOS</w:t>
      </w:r>
    </w:p>
    <w:p w14:paraId="5A5ADE1A" w14:textId="77777777" w:rsidR="00A46ECA" w:rsidRDefault="00A46ECA" w:rsidP="008B0D14">
      <w:pPr>
        <w:spacing w:line="276" w:lineRule="auto"/>
        <w:ind w:left="502" w:right="120"/>
        <w:jc w:val="both"/>
        <w:rPr>
          <w:rFonts w:ascii="Arial Narrow" w:hAnsi="Arial Narrow"/>
          <w:b/>
          <w:bCs/>
        </w:rPr>
      </w:pPr>
    </w:p>
    <w:p w14:paraId="6B07637C"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1580764C" w14:textId="77777777" w:rsidR="00A46ECA" w:rsidRDefault="00A46ECA" w:rsidP="008B0D14">
      <w:pPr>
        <w:spacing w:line="276" w:lineRule="auto"/>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A46ECA" w:rsidRPr="00A46ECA" w14:paraId="4340931B"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C470AF6" w14:textId="77777777" w:rsidR="00A46ECA" w:rsidRPr="00A46ECA" w:rsidRDefault="00A46ECA" w:rsidP="008B0D14">
            <w:pPr>
              <w:spacing w:line="276" w:lineRule="auto"/>
              <w:ind w:right="79"/>
              <w:jc w:val="center"/>
              <w:rPr>
                <w:rFonts w:ascii="Arial Narrow" w:hAnsi="Arial Narrow" w:cs="Arial"/>
                <w:b/>
                <w:sz w:val="18"/>
              </w:rPr>
            </w:pPr>
            <w:r w:rsidRPr="00A46ECA">
              <w:rPr>
                <w:rFonts w:ascii="Arial Narrow" w:hAnsi="Arial Narrow" w:cs="Arial"/>
                <w:b/>
                <w:sz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C7C78E7" w14:textId="77777777" w:rsidR="00A46ECA" w:rsidRPr="00A46ECA" w:rsidRDefault="00A46ECA" w:rsidP="008B0D14">
            <w:pPr>
              <w:spacing w:line="276" w:lineRule="auto"/>
              <w:ind w:right="121"/>
              <w:jc w:val="center"/>
              <w:rPr>
                <w:rFonts w:ascii="Arial Narrow" w:hAnsi="Arial Narrow" w:cs="Arial"/>
                <w:b/>
                <w:sz w:val="18"/>
              </w:rPr>
            </w:pPr>
            <w:r w:rsidRPr="00A46ECA">
              <w:rPr>
                <w:rFonts w:ascii="Arial Narrow" w:hAnsi="Arial Narrow" w:cs="Arial"/>
                <w:b/>
                <w:sz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E37015F" w14:textId="77777777" w:rsidR="00A46ECA" w:rsidRPr="00A46ECA" w:rsidRDefault="00A46ECA" w:rsidP="008B0D14">
            <w:pPr>
              <w:spacing w:line="276" w:lineRule="auto"/>
              <w:ind w:left="122" w:right="111"/>
              <w:jc w:val="center"/>
              <w:rPr>
                <w:rFonts w:ascii="Arial Narrow" w:hAnsi="Arial Narrow" w:cs="Arial"/>
                <w:b/>
                <w:sz w:val="18"/>
              </w:rPr>
            </w:pPr>
            <w:r w:rsidRPr="00A46ECA">
              <w:rPr>
                <w:rFonts w:ascii="Arial Narrow" w:hAnsi="Arial Narrow" w:cs="Arial"/>
                <w:b/>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7F3C6FFA" w14:textId="77777777" w:rsidR="00A46ECA" w:rsidRPr="00A46ECA" w:rsidRDefault="00A46ECA" w:rsidP="008B0D14">
            <w:pPr>
              <w:spacing w:line="276" w:lineRule="auto"/>
              <w:ind w:left="17"/>
              <w:jc w:val="center"/>
              <w:rPr>
                <w:rFonts w:ascii="Arial Narrow" w:hAnsi="Arial Narrow" w:cs="Arial"/>
                <w:b/>
                <w:sz w:val="18"/>
              </w:rPr>
            </w:pPr>
            <w:r w:rsidRPr="00A46ECA">
              <w:rPr>
                <w:rFonts w:ascii="Arial Narrow" w:hAnsi="Arial Narrow" w:cs="Arial"/>
                <w:b/>
                <w:sz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CA0BB30" w14:textId="77777777" w:rsidR="00A46ECA" w:rsidRPr="00A46ECA" w:rsidRDefault="00A46ECA" w:rsidP="008B0D14">
            <w:pPr>
              <w:spacing w:line="276" w:lineRule="auto"/>
              <w:ind w:left="153" w:right="146" w:firstLine="5"/>
              <w:jc w:val="center"/>
              <w:rPr>
                <w:rFonts w:ascii="Arial Narrow" w:hAnsi="Arial Narrow" w:cs="Arial"/>
                <w:b/>
                <w:sz w:val="18"/>
              </w:rPr>
            </w:pPr>
            <w:r w:rsidRPr="00A46ECA">
              <w:rPr>
                <w:rFonts w:ascii="Arial Narrow" w:hAnsi="Arial Narrow" w:cs="Arial"/>
                <w:b/>
                <w:sz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39F388" w14:textId="77777777" w:rsidR="00A46ECA" w:rsidRPr="00A46ECA" w:rsidRDefault="00A46ECA" w:rsidP="008B0D14">
            <w:pPr>
              <w:spacing w:line="276" w:lineRule="auto"/>
              <w:ind w:left="155" w:right="147" w:firstLine="5"/>
              <w:jc w:val="center"/>
              <w:rPr>
                <w:rFonts w:ascii="Arial Narrow" w:hAnsi="Arial Narrow" w:cs="Arial"/>
                <w:b/>
                <w:sz w:val="18"/>
              </w:rPr>
            </w:pPr>
            <w:r w:rsidRPr="00A46ECA">
              <w:rPr>
                <w:rFonts w:ascii="Arial Narrow" w:hAnsi="Arial Narrow" w:cs="Arial"/>
                <w:b/>
                <w:sz w:val="18"/>
              </w:rPr>
              <w:t>VALOR TOTAL (R$)</w:t>
            </w:r>
          </w:p>
        </w:tc>
      </w:tr>
      <w:tr w:rsidR="00A46ECA" w:rsidRPr="00A46ECA" w14:paraId="75B34945"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F583F76" w14:textId="409CE3D5" w:rsidR="00A46ECA" w:rsidRPr="00A46ECA" w:rsidRDefault="00A46ECA" w:rsidP="008B0D14">
            <w:pPr>
              <w:spacing w:line="276" w:lineRule="auto"/>
              <w:ind w:left="14"/>
              <w:jc w:val="center"/>
              <w:rPr>
                <w:rFonts w:ascii="Arial Narrow" w:hAnsi="Arial Narrow" w:cs="Arial"/>
                <w:sz w:val="18"/>
              </w:rPr>
            </w:pPr>
            <w:r>
              <w:rPr>
                <w:rFonts w:ascii="Arial Narrow" w:hAnsi="Arial Narrow" w:cs="Arial"/>
                <w:sz w:val="18"/>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178764BE" w14:textId="6A9BFE34" w:rsidR="00A46ECA" w:rsidRPr="00A46ECA" w:rsidRDefault="00A46ECA" w:rsidP="008B0D14">
            <w:pPr>
              <w:spacing w:line="276" w:lineRule="auto"/>
              <w:ind w:left="125" w:right="118"/>
              <w:jc w:val="center"/>
              <w:rPr>
                <w:rFonts w:ascii="Arial Narrow" w:hAnsi="Arial Narrow" w:cs="Arial"/>
                <w:sz w:val="18"/>
              </w:rPr>
            </w:pPr>
            <w:r>
              <w:rPr>
                <w:rFonts w:ascii="Arial Narrow" w:hAnsi="Arial Narrow" w:cstheme="majorHAnsi"/>
                <w:bCs/>
                <w:sz w:val="18"/>
              </w:rPr>
              <w:t>3</w:t>
            </w:r>
          </w:p>
        </w:tc>
        <w:tc>
          <w:tcPr>
            <w:tcW w:w="718" w:type="dxa"/>
            <w:tcBorders>
              <w:top w:val="single" w:sz="4" w:space="0" w:color="000000"/>
              <w:left w:val="single" w:sz="4" w:space="0" w:color="000000"/>
              <w:bottom w:val="single" w:sz="4" w:space="0" w:color="000000"/>
              <w:right w:val="single" w:sz="4" w:space="0" w:color="000000"/>
            </w:tcBorders>
            <w:vAlign w:val="center"/>
          </w:tcPr>
          <w:p w14:paraId="40307C74" w14:textId="5CD5C97C" w:rsidR="00A46ECA" w:rsidRPr="00A46ECA" w:rsidRDefault="00A46ECA" w:rsidP="008B0D14">
            <w:pPr>
              <w:spacing w:line="276" w:lineRule="auto"/>
              <w:ind w:left="123" w:right="111"/>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1F234728" w14:textId="6FC25066" w:rsidR="00A46ECA" w:rsidRPr="00A46ECA" w:rsidRDefault="00A46ECA" w:rsidP="008B0D14">
            <w:pPr>
              <w:spacing w:line="276" w:lineRule="auto"/>
              <w:ind w:left="107" w:right="99"/>
              <w:jc w:val="both"/>
              <w:rPr>
                <w:rFonts w:ascii="Arial Narrow" w:hAnsi="Arial Narrow" w:cs="Arial"/>
                <w:sz w:val="18"/>
              </w:rPr>
            </w:pPr>
            <w:r>
              <w:rPr>
                <w:rFonts w:ascii="Arial Narrow" w:hAnsi="Arial Narrow" w:cstheme="majorHAnsi"/>
                <w:sz w:val="18"/>
              </w:rPr>
              <w:t xml:space="preserve">Certificado Digital ICP-Brasil para a Prefeitura e Fundos Municipais (e-CNPJ A1) em arquivo, com validação, emissão, garantia técnica e validade de 1 ano - </w:t>
            </w:r>
            <w:r>
              <w:rPr>
                <w:rFonts w:ascii="Arial Narrow" w:hAnsi="Arial Narrow" w:cstheme="majorHAnsi"/>
                <w:b/>
                <w:bCs/>
                <w:sz w:val="18"/>
              </w:rPr>
              <w:t>Emissão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276D9B48" w14:textId="310F7974"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2EAD327" w14:textId="69C6933F"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300,00</w:t>
            </w:r>
          </w:p>
        </w:tc>
      </w:tr>
      <w:tr w:rsidR="00A46ECA" w:rsidRPr="00A46ECA" w14:paraId="230AFD42"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A0ECE8E" w14:textId="3B670E7A"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25170C68" w14:textId="7D7408D9"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5</w:t>
            </w:r>
          </w:p>
        </w:tc>
        <w:tc>
          <w:tcPr>
            <w:tcW w:w="718" w:type="dxa"/>
            <w:tcBorders>
              <w:top w:val="single" w:sz="4" w:space="0" w:color="000000"/>
              <w:left w:val="single" w:sz="4" w:space="0" w:color="000000"/>
              <w:bottom w:val="single" w:sz="4" w:space="0" w:color="000000"/>
              <w:right w:val="single" w:sz="4" w:space="0" w:color="000000"/>
            </w:tcBorders>
            <w:vAlign w:val="center"/>
          </w:tcPr>
          <w:p w14:paraId="0043BE23" w14:textId="5183ADBF"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1E1FBB6" w14:textId="0C935C42"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a Prefeitura e Fundos Municipais (e-CNPJ A1) em arquivo, com validação, emissão, garantia técnica e validade de 1 ano - </w:t>
            </w:r>
            <w:r>
              <w:rPr>
                <w:rFonts w:ascii="Arial Narrow" w:hAnsi="Arial Narrow" w:cstheme="majorHAnsi"/>
                <w:b/>
                <w:bCs/>
                <w:sz w:val="18"/>
              </w:rPr>
              <w:t>Renovação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15825B66" w14:textId="03678433"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44F91798" w14:textId="1D64B4B2"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500,00</w:t>
            </w:r>
          </w:p>
        </w:tc>
      </w:tr>
      <w:tr w:rsidR="00A46ECA" w:rsidRPr="00A46ECA" w14:paraId="293F2603"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D58339C" w14:textId="0BC93D1B"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03</w:t>
            </w:r>
          </w:p>
        </w:tc>
        <w:tc>
          <w:tcPr>
            <w:tcW w:w="852" w:type="dxa"/>
            <w:tcBorders>
              <w:top w:val="single" w:sz="4" w:space="0" w:color="000000"/>
              <w:left w:val="single" w:sz="4" w:space="0" w:color="000000"/>
              <w:bottom w:val="single" w:sz="4" w:space="0" w:color="000000"/>
              <w:right w:val="single" w:sz="4" w:space="0" w:color="000000"/>
            </w:tcBorders>
            <w:vAlign w:val="center"/>
          </w:tcPr>
          <w:p w14:paraId="1BC0D0F3" w14:textId="6784659D"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5</w:t>
            </w:r>
          </w:p>
        </w:tc>
        <w:tc>
          <w:tcPr>
            <w:tcW w:w="718" w:type="dxa"/>
            <w:tcBorders>
              <w:top w:val="single" w:sz="4" w:space="0" w:color="000000"/>
              <w:left w:val="single" w:sz="4" w:space="0" w:color="000000"/>
              <w:bottom w:val="single" w:sz="4" w:space="0" w:color="000000"/>
              <w:right w:val="single" w:sz="4" w:space="0" w:color="000000"/>
            </w:tcBorders>
            <w:vAlign w:val="center"/>
          </w:tcPr>
          <w:p w14:paraId="4F1CB59F" w14:textId="6C661F29"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1B706935" w14:textId="3ADFE084"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a Prefeitura e Fundos Municipais (e-CNPJ A3), Smartcard, com validação, emissão, garantia técnica e validade de 3 anos - </w:t>
            </w:r>
            <w:r>
              <w:rPr>
                <w:rFonts w:ascii="Arial Narrow" w:hAnsi="Arial Narrow" w:cstheme="majorHAnsi"/>
                <w:b/>
                <w:bCs/>
                <w:sz w:val="18"/>
              </w:rPr>
              <w:t>Emissão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4280E4EE" w14:textId="55E7256A"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149,00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65DB4DA8" w14:textId="69F1EAB1"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745,00</w:t>
            </w:r>
          </w:p>
        </w:tc>
      </w:tr>
      <w:tr w:rsidR="00A46ECA" w:rsidRPr="00A46ECA" w14:paraId="336A0539"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26BFCC4" w14:textId="42071066"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04</w:t>
            </w:r>
          </w:p>
        </w:tc>
        <w:tc>
          <w:tcPr>
            <w:tcW w:w="852" w:type="dxa"/>
            <w:tcBorders>
              <w:top w:val="single" w:sz="4" w:space="0" w:color="000000"/>
              <w:left w:val="single" w:sz="4" w:space="0" w:color="000000"/>
              <w:bottom w:val="single" w:sz="4" w:space="0" w:color="000000"/>
              <w:right w:val="single" w:sz="4" w:space="0" w:color="000000"/>
            </w:tcBorders>
            <w:vAlign w:val="center"/>
          </w:tcPr>
          <w:p w14:paraId="13CCDE13" w14:textId="5D3B30BE"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5</w:t>
            </w:r>
          </w:p>
        </w:tc>
        <w:tc>
          <w:tcPr>
            <w:tcW w:w="718" w:type="dxa"/>
            <w:tcBorders>
              <w:top w:val="single" w:sz="4" w:space="0" w:color="000000"/>
              <w:left w:val="single" w:sz="4" w:space="0" w:color="000000"/>
              <w:bottom w:val="single" w:sz="4" w:space="0" w:color="000000"/>
              <w:right w:val="single" w:sz="4" w:space="0" w:color="000000"/>
            </w:tcBorders>
            <w:vAlign w:val="center"/>
          </w:tcPr>
          <w:p w14:paraId="3570347A" w14:textId="68E80C2C"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2C9A014A" w14:textId="39B4F1FC"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a Prefeitura e Fundos Municipais (e-CNPJ A3), Smartcard, com validação, emissão, garantia técnica e validade de 3 anos - </w:t>
            </w:r>
            <w:r>
              <w:rPr>
                <w:rFonts w:ascii="Arial Narrow" w:hAnsi="Arial Narrow" w:cstheme="majorHAnsi"/>
                <w:b/>
                <w:bCs/>
                <w:sz w:val="18"/>
              </w:rPr>
              <w:t>Renovação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2B304CF9" w14:textId="3067D301"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149,00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7705C52B" w14:textId="1F5B86D8"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745,00</w:t>
            </w:r>
          </w:p>
        </w:tc>
      </w:tr>
      <w:tr w:rsidR="00A46ECA" w:rsidRPr="00A46ECA" w14:paraId="3FDDEC56"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9B741AE" w14:textId="20A3C34C"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lastRenderedPageBreak/>
              <w:t>05</w:t>
            </w:r>
          </w:p>
        </w:tc>
        <w:tc>
          <w:tcPr>
            <w:tcW w:w="852" w:type="dxa"/>
            <w:tcBorders>
              <w:top w:val="single" w:sz="4" w:space="0" w:color="000000"/>
              <w:left w:val="single" w:sz="4" w:space="0" w:color="000000"/>
              <w:bottom w:val="single" w:sz="4" w:space="0" w:color="000000"/>
              <w:right w:val="single" w:sz="4" w:space="0" w:color="000000"/>
            </w:tcBorders>
            <w:vAlign w:val="center"/>
          </w:tcPr>
          <w:p w14:paraId="465F8435" w14:textId="42C9DAC4"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6</w:t>
            </w:r>
          </w:p>
        </w:tc>
        <w:tc>
          <w:tcPr>
            <w:tcW w:w="718" w:type="dxa"/>
            <w:tcBorders>
              <w:top w:val="single" w:sz="4" w:space="0" w:color="000000"/>
              <w:left w:val="single" w:sz="4" w:space="0" w:color="000000"/>
              <w:bottom w:val="single" w:sz="4" w:space="0" w:color="000000"/>
              <w:right w:val="single" w:sz="4" w:space="0" w:color="000000"/>
            </w:tcBorders>
            <w:vAlign w:val="center"/>
          </w:tcPr>
          <w:p w14:paraId="595FB07B" w14:textId="791DF1A8"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702469C" w14:textId="6DB415B4"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a Prefeitura e Fundos Municipais (e-CNPJ A3), Token USB, com validação, emissão, garantia técnica e validade de 3 anos - </w:t>
            </w:r>
            <w:r>
              <w:rPr>
                <w:rFonts w:ascii="Arial Narrow" w:hAnsi="Arial Narrow" w:cstheme="majorHAnsi"/>
                <w:b/>
                <w:bCs/>
                <w:sz w:val="18"/>
              </w:rPr>
              <w:t>Emissão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3D5BA60A" w14:textId="191A99DD"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150,00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7FFD9F87" w14:textId="495B348A"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900,00</w:t>
            </w:r>
          </w:p>
        </w:tc>
      </w:tr>
      <w:tr w:rsidR="00A46ECA" w:rsidRPr="00A46ECA" w14:paraId="231B7A7B"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5689830" w14:textId="0AFF1115"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08A33A97" w14:textId="54DA60B3"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5</w:t>
            </w:r>
          </w:p>
        </w:tc>
        <w:tc>
          <w:tcPr>
            <w:tcW w:w="718" w:type="dxa"/>
            <w:tcBorders>
              <w:top w:val="single" w:sz="4" w:space="0" w:color="000000"/>
              <w:left w:val="single" w:sz="4" w:space="0" w:color="000000"/>
              <w:bottom w:val="single" w:sz="4" w:space="0" w:color="000000"/>
              <w:right w:val="single" w:sz="4" w:space="0" w:color="000000"/>
            </w:tcBorders>
            <w:vAlign w:val="center"/>
          </w:tcPr>
          <w:p w14:paraId="790B5B77" w14:textId="21376DD4"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3C0CF4E" w14:textId="30B18D55"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a Prefeitura e Fundos Municipais (e-CNPJ A3), Token USB, com validação, emissão, garantia técnica e validade de 3 anos - </w:t>
            </w:r>
            <w:r>
              <w:rPr>
                <w:rFonts w:ascii="Arial Narrow" w:hAnsi="Arial Narrow" w:cstheme="majorHAnsi"/>
                <w:b/>
                <w:bCs/>
                <w:sz w:val="18"/>
              </w:rPr>
              <w:t>Renovação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56DDAC8A" w14:textId="0C5DD67A"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150,00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13115BC" w14:textId="68E2E0DB"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750,00</w:t>
            </w:r>
          </w:p>
        </w:tc>
      </w:tr>
      <w:tr w:rsidR="00A46ECA" w:rsidRPr="00A46ECA" w14:paraId="20692981"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22E79F3" w14:textId="69EE5615"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07</w:t>
            </w:r>
          </w:p>
        </w:tc>
        <w:tc>
          <w:tcPr>
            <w:tcW w:w="852" w:type="dxa"/>
            <w:tcBorders>
              <w:top w:val="single" w:sz="4" w:space="0" w:color="000000"/>
              <w:left w:val="single" w:sz="4" w:space="0" w:color="000000"/>
              <w:bottom w:val="single" w:sz="4" w:space="0" w:color="000000"/>
              <w:right w:val="single" w:sz="4" w:space="0" w:color="000000"/>
            </w:tcBorders>
            <w:vAlign w:val="center"/>
          </w:tcPr>
          <w:p w14:paraId="7C09658C" w14:textId="58BCA884"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7</w:t>
            </w:r>
          </w:p>
        </w:tc>
        <w:tc>
          <w:tcPr>
            <w:tcW w:w="718" w:type="dxa"/>
            <w:tcBorders>
              <w:top w:val="single" w:sz="4" w:space="0" w:color="000000"/>
              <w:left w:val="single" w:sz="4" w:space="0" w:color="000000"/>
              <w:bottom w:val="single" w:sz="4" w:space="0" w:color="000000"/>
              <w:right w:val="single" w:sz="4" w:space="0" w:color="000000"/>
            </w:tcBorders>
            <w:vAlign w:val="center"/>
          </w:tcPr>
          <w:p w14:paraId="0F8998E2" w14:textId="6BE04939"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2CBAD4AB" w14:textId="2687C1EF"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Gestores Municipais (e-CPF A3), Smartcard, com validação, emissão, garantia técnica e validade de 3 anos - </w:t>
            </w:r>
            <w:r>
              <w:rPr>
                <w:rFonts w:ascii="Arial Narrow" w:hAnsi="Arial Narrow" w:cstheme="majorHAnsi"/>
                <w:b/>
                <w:bCs/>
                <w:sz w:val="18"/>
              </w:rPr>
              <w:t>Emissão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167D714D" w14:textId="4D1E8C09"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125,00</w:t>
            </w:r>
          </w:p>
        </w:tc>
        <w:tc>
          <w:tcPr>
            <w:tcW w:w="1702" w:type="dxa"/>
            <w:tcBorders>
              <w:top w:val="single" w:sz="4" w:space="0" w:color="000000"/>
              <w:left w:val="single" w:sz="4" w:space="0" w:color="000000"/>
              <w:bottom w:val="single" w:sz="4" w:space="0" w:color="000000"/>
              <w:right w:val="single" w:sz="4" w:space="0" w:color="000000"/>
            </w:tcBorders>
            <w:vAlign w:val="center"/>
          </w:tcPr>
          <w:p w14:paraId="65704DE5" w14:textId="63E4DE20"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875,00</w:t>
            </w:r>
          </w:p>
        </w:tc>
      </w:tr>
      <w:tr w:rsidR="00A46ECA" w:rsidRPr="00A46ECA" w14:paraId="330CF6B3" w14:textId="77777777" w:rsidTr="00A46ECA">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2E432A0" w14:textId="5C113F68"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08</w:t>
            </w:r>
          </w:p>
        </w:tc>
        <w:tc>
          <w:tcPr>
            <w:tcW w:w="852" w:type="dxa"/>
            <w:tcBorders>
              <w:top w:val="single" w:sz="4" w:space="0" w:color="000000"/>
              <w:left w:val="single" w:sz="4" w:space="0" w:color="000000"/>
              <w:bottom w:val="single" w:sz="4" w:space="0" w:color="000000"/>
              <w:right w:val="single" w:sz="4" w:space="0" w:color="000000"/>
            </w:tcBorders>
            <w:vAlign w:val="center"/>
          </w:tcPr>
          <w:p w14:paraId="0776DC8D" w14:textId="5899A299"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6</w:t>
            </w:r>
          </w:p>
        </w:tc>
        <w:tc>
          <w:tcPr>
            <w:tcW w:w="718" w:type="dxa"/>
            <w:tcBorders>
              <w:top w:val="single" w:sz="4" w:space="0" w:color="000000"/>
              <w:left w:val="single" w:sz="4" w:space="0" w:color="000000"/>
              <w:bottom w:val="single" w:sz="4" w:space="0" w:color="000000"/>
              <w:right w:val="single" w:sz="4" w:space="0" w:color="000000"/>
            </w:tcBorders>
            <w:vAlign w:val="center"/>
          </w:tcPr>
          <w:p w14:paraId="75F7B815" w14:textId="5F6CC9A4"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B5DEA91" w14:textId="4127AF50"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 xml:space="preserve">Certificado Digital ICP-Brasil para Gestores Municipais (e-CPF A3), Smartcard, com validação, emissão, garantia técnica e validade de 3 anos - </w:t>
            </w:r>
            <w:r>
              <w:rPr>
                <w:rFonts w:ascii="Arial Narrow" w:hAnsi="Arial Narrow" w:cstheme="majorHAnsi"/>
                <w:b/>
                <w:bCs/>
                <w:sz w:val="18"/>
              </w:rPr>
              <w:t>Renovação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1CFC8B6E" w14:textId="0D64B60F"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125,00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F7DAAC4" w14:textId="0AB240BB"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750,00</w:t>
            </w:r>
          </w:p>
        </w:tc>
      </w:tr>
      <w:tr w:rsidR="00A46ECA" w:rsidRPr="00A46ECA" w14:paraId="77AF5091" w14:textId="77777777" w:rsidTr="0056140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E2F1E0E" w14:textId="6ECEC169"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10A0C047" w14:textId="18FFAED6" w:rsidR="00A46ECA" w:rsidRPr="00A46ECA" w:rsidRDefault="00A46ECA" w:rsidP="008B0D14">
            <w:pPr>
              <w:spacing w:line="276" w:lineRule="auto"/>
              <w:jc w:val="center"/>
              <w:rPr>
                <w:rFonts w:ascii="Arial Narrow" w:hAnsi="Arial Narrow" w:cs="Arial"/>
                <w:sz w:val="18"/>
              </w:rPr>
            </w:pPr>
            <w:r>
              <w:rPr>
                <w:rFonts w:ascii="Arial Narrow" w:hAnsi="Arial Narrow" w:cstheme="majorHAnsi"/>
                <w:bCs/>
                <w:sz w:val="18"/>
              </w:rPr>
              <w:t>8</w:t>
            </w:r>
          </w:p>
        </w:tc>
        <w:tc>
          <w:tcPr>
            <w:tcW w:w="718" w:type="dxa"/>
            <w:tcBorders>
              <w:top w:val="single" w:sz="4" w:space="0" w:color="000000"/>
              <w:left w:val="single" w:sz="4" w:space="0" w:color="000000"/>
              <w:bottom w:val="single" w:sz="4" w:space="0" w:color="000000"/>
              <w:right w:val="single" w:sz="4" w:space="0" w:color="000000"/>
            </w:tcBorders>
            <w:vAlign w:val="center"/>
          </w:tcPr>
          <w:p w14:paraId="01FD1852" w14:textId="3C3347B4" w:rsidR="00A46ECA" w:rsidRPr="00A46ECA" w:rsidRDefault="00A46ECA" w:rsidP="008B0D14">
            <w:pPr>
              <w:spacing w:line="27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tcPr>
          <w:p w14:paraId="659AC1ED" w14:textId="2A7D6076" w:rsidR="00A46ECA" w:rsidRPr="00A46ECA" w:rsidRDefault="00A46ECA" w:rsidP="008B0D14">
            <w:pPr>
              <w:spacing w:line="276" w:lineRule="auto"/>
              <w:ind w:left="107" w:right="98"/>
              <w:jc w:val="both"/>
              <w:rPr>
                <w:rFonts w:ascii="Arial Narrow" w:hAnsi="Arial Narrow" w:cs="Arial"/>
                <w:sz w:val="18"/>
              </w:rPr>
            </w:pPr>
            <w:r>
              <w:rPr>
                <w:rFonts w:ascii="Arial Narrow" w:hAnsi="Arial Narrow" w:cstheme="majorHAnsi"/>
                <w:sz w:val="18"/>
              </w:rPr>
              <w:t>Leitora de Certificado Digital armazenado em cartão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7D0E8D85" w14:textId="5B8A9F7A" w:rsidR="00A46ECA" w:rsidRPr="00A46ECA" w:rsidRDefault="00533236" w:rsidP="008B0D14">
            <w:pPr>
              <w:spacing w:line="276" w:lineRule="auto"/>
              <w:jc w:val="center"/>
              <w:rPr>
                <w:rFonts w:ascii="Arial Narrow" w:hAnsi="Arial Narrow" w:cs="Arial"/>
                <w:sz w:val="18"/>
              </w:rPr>
            </w:pPr>
            <w:r>
              <w:rPr>
                <w:rFonts w:ascii="Arial Narrow" w:hAnsi="Arial Narrow" w:cs="Arial"/>
                <w:sz w:val="18"/>
              </w:rPr>
              <w:t>54,37</w:t>
            </w:r>
          </w:p>
        </w:tc>
        <w:tc>
          <w:tcPr>
            <w:tcW w:w="1702" w:type="dxa"/>
            <w:tcBorders>
              <w:top w:val="single" w:sz="4" w:space="0" w:color="000000"/>
              <w:left w:val="single" w:sz="4" w:space="0" w:color="000000"/>
              <w:bottom w:val="single" w:sz="4" w:space="0" w:color="000000"/>
              <w:right w:val="single" w:sz="4" w:space="0" w:color="000000"/>
            </w:tcBorders>
            <w:vAlign w:val="center"/>
          </w:tcPr>
          <w:p w14:paraId="325811CA" w14:textId="423FFBF8" w:rsidR="00A46ECA" w:rsidRPr="00A46ECA" w:rsidRDefault="00533236" w:rsidP="008B0D14">
            <w:pPr>
              <w:spacing w:line="276" w:lineRule="auto"/>
              <w:jc w:val="right"/>
              <w:rPr>
                <w:rFonts w:ascii="Arial Narrow" w:hAnsi="Arial Narrow" w:cs="Arial"/>
                <w:sz w:val="18"/>
              </w:rPr>
            </w:pPr>
            <w:r>
              <w:rPr>
                <w:rFonts w:ascii="Arial Narrow" w:hAnsi="Arial Narrow" w:cs="Arial"/>
                <w:sz w:val="18"/>
              </w:rPr>
              <w:t>434,96</w:t>
            </w:r>
          </w:p>
        </w:tc>
      </w:tr>
      <w:tr w:rsidR="00A46ECA" w:rsidRPr="00A46ECA" w14:paraId="4371E336" w14:textId="77777777" w:rsidTr="00A46ECA">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77A29B0C" w14:textId="77777777" w:rsidR="00A46ECA" w:rsidRPr="00533236" w:rsidRDefault="00A46ECA" w:rsidP="008B0D14">
            <w:pPr>
              <w:spacing w:line="276" w:lineRule="auto"/>
              <w:ind w:right="230"/>
              <w:jc w:val="right"/>
              <w:rPr>
                <w:rFonts w:ascii="Arial Narrow" w:hAnsi="Arial Narrow" w:cs="Arial"/>
                <w:b/>
                <w:bCs/>
              </w:rPr>
            </w:pPr>
            <w:r w:rsidRPr="00533236">
              <w:rPr>
                <w:rFonts w:ascii="Arial Narrow" w:hAnsi="Arial Narrow" w:cs="Arial"/>
                <w:b/>
                <w:bCs/>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42325E7" w14:textId="4E304BF8" w:rsidR="00A46ECA" w:rsidRPr="00FA3701" w:rsidRDefault="00533236" w:rsidP="008B0D14">
            <w:pPr>
              <w:spacing w:line="276" w:lineRule="auto"/>
              <w:jc w:val="right"/>
              <w:rPr>
                <w:rFonts w:ascii="Arial Narrow" w:hAnsi="Arial Narrow" w:cs="Arial"/>
                <w:b/>
                <w:bCs/>
              </w:rPr>
            </w:pPr>
            <w:r w:rsidRPr="00FA3701">
              <w:rPr>
                <w:rFonts w:ascii="Arial Narrow" w:hAnsi="Arial Narrow" w:cs="Arial"/>
                <w:b/>
                <w:bCs/>
              </w:rPr>
              <w:t>R$ 5.999,96</w:t>
            </w:r>
          </w:p>
        </w:tc>
      </w:tr>
    </w:tbl>
    <w:p w14:paraId="032675B9" w14:textId="77777777" w:rsidR="00A46ECA" w:rsidRDefault="00A46ECA" w:rsidP="008B0D14">
      <w:pPr>
        <w:spacing w:line="276" w:lineRule="auto"/>
        <w:ind w:left="502" w:right="120"/>
        <w:jc w:val="both"/>
        <w:rPr>
          <w:rFonts w:ascii="Arial Narrow" w:eastAsia="Arial MT" w:hAnsi="Arial Narrow" w:cs="Arial MT"/>
          <w:b/>
          <w:bCs/>
          <w:lang w:val="pt-PT" w:eastAsia="en-US"/>
        </w:rPr>
      </w:pPr>
    </w:p>
    <w:p w14:paraId="757EEB48"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1152864" w14:textId="77777777" w:rsidR="00A46ECA" w:rsidRDefault="00A46ECA" w:rsidP="008B0D14">
      <w:pPr>
        <w:spacing w:line="276" w:lineRule="auto"/>
        <w:ind w:left="360" w:right="120"/>
        <w:jc w:val="both"/>
        <w:rPr>
          <w:rFonts w:ascii="Arial Narrow" w:hAnsi="Arial Narrow"/>
          <w:b/>
          <w:bCs/>
        </w:rPr>
      </w:pPr>
    </w:p>
    <w:p w14:paraId="43BB38DA"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DAS CONDIÇÕES DE PAGAMENTO</w:t>
      </w:r>
    </w:p>
    <w:p w14:paraId="0080E9B4" w14:textId="77777777" w:rsidR="00A46ECA" w:rsidRDefault="00A46ECA" w:rsidP="008B0D14">
      <w:pPr>
        <w:spacing w:line="276" w:lineRule="auto"/>
        <w:ind w:left="502" w:right="120"/>
        <w:jc w:val="both"/>
        <w:rPr>
          <w:rFonts w:ascii="Arial Narrow" w:hAnsi="Arial Narrow"/>
          <w:b/>
          <w:bCs/>
        </w:rPr>
      </w:pPr>
    </w:p>
    <w:p w14:paraId="6C923E15" w14:textId="51B30226"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 xml:space="preserve">O pagamento será efetuado, pelo Departamento Financeiro da </w:t>
      </w:r>
      <w:r>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Pr>
          <w:rFonts w:ascii="Arial Narrow" w:hAnsi="Arial Narrow" w:cs="Arial"/>
        </w:rPr>
        <w:t>órgão requisitante</w:t>
      </w:r>
      <w:r>
        <w:rPr>
          <w:rFonts w:ascii="Arial Narrow" w:hAnsi="Arial Narrow" w:cs="Arial"/>
        </w:rPr>
        <w:t>.</w:t>
      </w:r>
    </w:p>
    <w:p w14:paraId="4164A577" w14:textId="77777777" w:rsidR="00A46ECA" w:rsidRDefault="00A46ECA" w:rsidP="008B0D14">
      <w:pPr>
        <w:spacing w:line="276" w:lineRule="auto"/>
        <w:ind w:left="567" w:right="120" w:hanging="425"/>
        <w:jc w:val="both"/>
        <w:rPr>
          <w:rFonts w:ascii="Arial Narrow" w:hAnsi="Arial Narrow"/>
          <w:b/>
          <w:bCs/>
        </w:rPr>
      </w:pPr>
    </w:p>
    <w:p w14:paraId="4D2C9295"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2003B7D" w14:textId="77777777" w:rsidR="00A46ECA" w:rsidRDefault="00A46ECA" w:rsidP="008B0D14">
      <w:pPr>
        <w:spacing w:line="276" w:lineRule="auto"/>
        <w:ind w:left="567" w:right="120" w:hanging="425"/>
        <w:jc w:val="both"/>
        <w:rPr>
          <w:rFonts w:ascii="Arial Narrow" w:hAnsi="Arial Narrow"/>
          <w:b/>
          <w:bCs/>
        </w:rPr>
      </w:pPr>
    </w:p>
    <w:p w14:paraId="1DF710B1"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2A480775" w14:textId="77777777" w:rsidR="00A46ECA" w:rsidRDefault="00A46ECA" w:rsidP="008B0D14">
      <w:pPr>
        <w:pStyle w:val="Corpodetexto"/>
        <w:spacing w:line="276" w:lineRule="auto"/>
        <w:ind w:left="567" w:hanging="425"/>
        <w:rPr>
          <w:rFonts w:ascii="Arial Narrow" w:hAnsi="Arial Narrow" w:cs="Arial"/>
        </w:rPr>
      </w:pPr>
    </w:p>
    <w:p w14:paraId="2852CCFA" w14:textId="18333254"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Pr>
          <w:rFonts w:ascii="Arial Narrow" w:hAnsi="Arial Narrow" w:cs="Arial"/>
        </w:rPr>
        <w:t>ausentes</w:t>
      </w:r>
      <w:r>
        <w:rPr>
          <w:rFonts w:ascii="Arial Narrow" w:hAnsi="Arial Narrow" w:cs="Arial"/>
        </w:rPr>
        <w:t>.</w:t>
      </w:r>
    </w:p>
    <w:p w14:paraId="0B8E5283" w14:textId="77777777" w:rsidR="00A46ECA" w:rsidRDefault="00A46ECA" w:rsidP="008B0D14">
      <w:pPr>
        <w:pStyle w:val="Corpodetexto"/>
        <w:spacing w:line="276" w:lineRule="auto"/>
        <w:ind w:left="567" w:hanging="425"/>
        <w:rPr>
          <w:rFonts w:ascii="Arial Narrow" w:hAnsi="Arial Narrow" w:cs="Arial"/>
        </w:rPr>
      </w:pPr>
    </w:p>
    <w:p w14:paraId="6E002E33"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17F946BA" w14:textId="77777777" w:rsidR="00A46ECA" w:rsidRDefault="00A46ECA" w:rsidP="008B0D14">
      <w:pPr>
        <w:pStyle w:val="Corpodetexto"/>
        <w:spacing w:line="276" w:lineRule="auto"/>
        <w:ind w:left="567" w:hanging="425"/>
        <w:rPr>
          <w:rFonts w:ascii="Arial Narrow" w:hAnsi="Arial Narrow" w:cs="Arial"/>
        </w:rPr>
      </w:pPr>
    </w:p>
    <w:p w14:paraId="511B0C22"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r>
        <w:rPr>
          <w:rFonts w:ascii="Arial Narrow" w:hAnsi="Arial Narrow"/>
          <w:bCs/>
        </w:rPr>
        <w:t xml:space="preserve"> a entidade contratante, conforme dados constantes na autorização de fornecimento.</w:t>
      </w:r>
    </w:p>
    <w:p w14:paraId="15AD67E5" w14:textId="77777777" w:rsidR="00A46ECA" w:rsidRDefault="00A46ECA" w:rsidP="008B0D14">
      <w:pPr>
        <w:spacing w:line="276" w:lineRule="auto"/>
        <w:ind w:left="567" w:right="110"/>
        <w:rPr>
          <w:rFonts w:ascii="Arial Narrow" w:hAnsi="Arial Narrow" w:cs="Arial"/>
        </w:rPr>
      </w:pPr>
    </w:p>
    <w:p w14:paraId="3877731D"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987FED8" w14:textId="77777777" w:rsidR="00A46ECA" w:rsidRDefault="00A46ECA" w:rsidP="008B0D14">
      <w:pPr>
        <w:spacing w:line="276" w:lineRule="auto"/>
        <w:ind w:left="567" w:right="120" w:hanging="425"/>
        <w:jc w:val="both"/>
        <w:rPr>
          <w:rFonts w:ascii="Arial Narrow" w:hAnsi="Arial Narrow"/>
          <w:b/>
          <w:bCs/>
        </w:rPr>
      </w:pPr>
    </w:p>
    <w:p w14:paraId="5148801B"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65676B44" w14:textId="77777777" w:rsidR="00A46ECA" w:rsidRDefault="00A46ECA" w:rsidP="008B0D14">
      <w:pPr>
        <w:pStyle w:val="Corpodetexto"/>
        <w:spacing w:line="276" w:lineRule="auto"/>
        <w:ind w:left="567" w:hanging="425"/>
        <w:rPr>
          <w:rFonts w:ascii="Arial Narrow" w:hAnsi="Arial Narrow" w:cs="Arial"/>
        </w:rPr>
      </w:pPr>
    </w:p>
    <w:p w14:paraId="4B8AF947"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2D89F003" w14:textId="77777777" w:rsidR="00A46ECA" w:rsidRDefault="00A46ECA" w:rsidP="008B0D14">
      <w:pPr>
        <w:pStyle w:val="Corpodetexto"/>
        <w:spacing w:line="276" w:lineRule="auto"/>
        <w:ind w:left="567" w:hanging="425"/>
        <w:rPr>
          <w:rFonts w:ascii="Arial Narrow" w:hAnsi="Arial Narrow" w:cs="Arial"/>
        </w:rPr>
      </w:pPr>
    </w:p>
    <w:p w14:paraId="1FC9670D"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C832DE6"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A detentora deverá destacar na nota fiscal as informações acerca do imposto de renda (IR), em conformidade com o Decreto Municipal nº 134/2023.</w:t>
      </w:r>
    </w:p>
    <w:p w14:paraId="1F8491AB" w14:textId="77777777" w:rsidR="00A46ECA" w:rsidRDefault="00A46ECA" w:rsidP="008B0D14">
      <w:pPr>
        <w:pStyle w:val="Corpodetexto"/>
        <w:spacing w:line="276" w:lineRule="auto"/>
        <w:ind w:left="567" w:hanging="425"/>
        <w:rPr>
          <w:rFonts w:ascii="Arial Narrow" w:hAnsi="Arial Narrow" w:cs="Arial"/>
        </w:rPr>
      </w:pPr>
    </w:p>
    <w:p w14:paraId="3BD5210B"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A616741" w14:textId="77777777" w:rsidR="00A46ECA" w:rsidRDefault="00A46ECA" w:rsidP="008B0D14">
      <w:pPr>
        <w:pStyle w:val="Corpodetexto"/>
        <w:spacing w:line="276" w:lineRule="auto"/>
        <w:rPr>
          <w:rFonts w:ascii="Arial Narrow" w:hAnsi="Arial Narrow"/>
          <w:b/>
          <w:bCs/>
        </w:rPr>
      </w:pPr>
    </w:p>
    <w:p w14:paraId="05C314AA"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27FC6E8A" w14:textId="77777777" w:rsidR="00A46ECA" w:rsidRDefault="00A46ECA" w:rsidP="008B0D14">
      <w:pPr>
        <w:spacing w:line="276" w:lineRule="auto"/>
        <w:ind w:right="120"/>
        <w:jc w:val="both"/>
        <w:rPr>
          <w:rFonts w:ascii="Arial Narrow" w:hAnsi="Arial Narrow"/>
          <w:b/>
          <w:bCs/>
        </w:rPr>
      </w:pPr>
    </w:p>
    <w:p w14:paraId="1A296121"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407FDCEB" w14:textId="77777777" w:rsidR="00A46ECA" w:rsidRDefault="00A46ECA" w:rsidP="008B0D14">
      <w:pPr>
        <w:spacing w:line="276" w:lineRule="auto"/>
        <w:ind w:left="502" w:right="120"/>
        <w:jc w:val="both"/>
        <w:rPr>
          <w:rFonts w:ascii="Arial Narrow" w:hAnsi="Arial Narrow"/>
          <w:b/>
          <w:bCs/>
        </w:rPr>
      </w:pPr>
    </w:p>
    <w:p w14:paraId="044B0A7A"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4DDD9B66" w14:textId="77777777" w:rsidR="00A46ECA" w:rsidRDefault="00A46ECA" w:rsidP="008B0D14">
      <w:pPr>
        <w:spacing w:line="276" w:lineRule="auto"/>
        <w:ind w:right="120"/>
        <w:jc w:val="both"/>
        <w:rPr>
          <w:rFonts w:ascii="Arial Narrow" w:hAnsi="Arial Narrow"/>
          <w:b/>
          <w:bCs/>
        </w:rPr>
      </w:pPr>
    </w:p>
    <w:p w14:paraId="499F70EB"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4BBD18C" w14:textId="77777777" w:rsidR="00A46ECA" w:rsidRDefault="00A46ECA" w:rsidP="008B0D14">
      <w:pPr>
        <w:spacing w:line="276" w:lineRule="auto"/>
        <w:ind w:left="502" w:right="120"/>
        <w:jc w:val="both"/>
        <w:rPr>
          <w:rFonts w:ascii="Arial Narrow" w:hAnsi="Arial Narrow"/>
          <w:b/>
          <w:bCs/>
        </w:rPr>
      </w:pPr>
    </w:p>
    <w:p w14:paraId="3462AA19"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O pedido de revisão de preços será processado e julgado pelo Órgão Gerenciador.</w:t>
      </w:r>
    </w:p>
    <w:p w14:paraId="48244A70" w14:textId="77777777" w:rsidR="00A46ECA" w:rsidRDefault="00A46ECA" w:rsidP="008B0D14">
      <w:pPr>
        <w:pStyle w:val="Corpodetexto"/>
        <w:spacing w:line="276" w:lineRule="auto"/>
        <w:rPr>
          <w:rFonts w:ascii="Arial Narrow" w:hAnsi="Arial Narrow"/>
          <w:b/>
          <w:bCs/>
        </w:rPr>
      </w:pPr>
    </w:p>
    <w:p w14:paraId="33487DDC"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 DESPESA</w:t>
      </w:r>
    </w:p>
    <w:p w14:paraId="7F112C39" w14:textId="77777777" w:rsidR="00A46ECA" w:rsidRDefault="00A46ECA" w:rsidP="008B0D14">
      <w:pPr>
        <w:spacing w:line="276" w:lineRule="auto"/>
        <w:ind w:right="120"/>
        <w:jc w:val="both"/>
        <w:rPr>
          <w:rFonts w:ascii="Arial Narrow" w:hAnsi="Arial Narrow"/>
          <w:b/>
          <w:bCs/>
        </w:rPr>
      </w:pPr>
    </w:p>
    <w:p w14:paraId="50DA759A"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7DE6830" w14:textId="77777777" w:rsidR="00A46ECA" w:rsidRDefault="00A46ECA" w:rsidP="008B0D14">
      <w:pPr>
        <w:spacing w:line="276" w:lineRule="auto"/>
        <w:ind w:left="360" w:right="120"/>
        <w:jc w:val="both"/>
        <w:rPr>
          <w:rFonts w:ascii="Arial Narrow" w:hAnsi="Arial Narrow"/>
          <w:b/>
          <w:bCs/>
        </w:rPr>
      </w:pPr>
    </w:p>
    <w:p w14:paraId="5A4FF212"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 RECEBIMENTO DO OBJETO E DA FISCALIZAÇÃO</w:t>
      </w:r>
    </w:p>
    <w:p w14:paraId="48068750" w14:textId="77777777" w:rsidR="00A46ECA" w:rsidRDefault="00A46ECA" w:rsidP="008B0D14">
      <w:pPr>
        <w:spacing w:line="276" w:lineRule="auto"/>
        <w:ind w:left="502" w:right="120"/>
        <w:jc w:val="both"/>
        <w:rPr>
          <w:rFonts w:ascii="Arial Narrow" w:hAnsi="Arial Narrow"/>
          <w:b/>
          <w:bCs/>
        </w:rPr>
      </w:pPr>
    </w:p>
    <w:p w14:paraId="3D81DBAF" w14:textId="4FACA7E0" w:rsidR="00A46ECA" w:rsidRDefault="00A46ECA" w:rsidP="008B0D14">
      <w:pPr>
        <w:pStyle w:val="Corpodetexto"/>
        <w:widowControl w:val="0"/>
        <w:numPr>
          <w:ilvl w:val="1"/>
          <w:numId w:val="16"/>
        </w:numPr>
        <w:autoSpaceDE w:val="0"/>
        <w:autoSpaceDN w:val="0"/>
        <w:spacing w:after="0" w:line="276" w:lineRule="auto"/>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Kárin</w:t>
      </w:r>
      <w:proofErr w:type="spellEnd"/>
      <w:r>
        <w:rPr>
          <w:rFonts w:ascii="Arial Narrow" w:eastAsia="Calibri" w:hAnsi="Arial Narrow" w:cstheme="majorHAnsi"/>
        </w:rPr>
        <w:t xml:space="preserve"> Ane </w:t>
      </w:r>
      <w:proofErr w:type="spellStart"/>
      <w:r>
        <w:rPr>
          <w:rFonts w:ascii="Arial Narrow" w:eastAsia="Calibri" w:hAnsi="Arial Narrow" w:cstheme="majorHAnsi"/>
        </w:rPr>
        <w:t>Côrso</w:t>
      </w:r>
      <w:proofErr w:type="spellEnd"/>
      <w:r>
        <w:rPr>
          <w:rFonts w:ascii="Arial Narrow" w:eastAsia="Calibri" w:hAnsi="Arial Narrow" w:cstheme="majorHAnsi"/>
        </w:rPr>
        <w:t xml:space="preserve">, Assistente </w:t>
      </w:r>
      <w:r>
        <w:rPr>
          <w:rFonts w:ascii="Arial Narrow" w:eastAsia="Calibri" w:hAnsi="Arial Narrow" w:cstheme="majorHAnsi"/>
        </w:rPr>
        <w:t>Administrativo</w:t>
      </w:r>
      <w:r>
        <w:rPr>
          <w:rFonts w:ascii="Arial Narrow" w:eastAsia="Calibri" w:hAnsi="Arial Narrow" w:cstheme="majorHAnsi"/>
        </w:rPr>
        <w:t xml:space="preserve">/Coordenadora Administrativa, </w:t>
      </w:r>
      <w:r>
        <w:rPr>
          <w:rFonts w:ascii="Arial Narrow" w:eastAsia="Calibri" w:hAnsi="Arial Narrow" w:cstheme="majorHAnsi"/>
        </w:rPr>
        <w:t>incumbida</w:t>
      </w:r>
      <w:r>
        <w:rPr>
          <w:rFonts w:ascii="Arial Narrow" w:eastAsia="Calibri" w:hAnsi="Arial Narrow" w:cstheme="majorHAnsi"/>
        </w:rPr>
        <w:t xml:space="preserve"> de fiscalizar as respectivas entregas e verificar qualquer anormalidade quanto ao contrato.</w:t>
      </w:r>
    </w:p>
    <w:p w14:paraId="39D59753" w14:textId="77777777" w:rsidR="00A46ECA" w:rsidRDefault="00A46ECA" w:rsidP="008B0D14">
      <w:pPr>
        <w:spacing w:line="276" w:lineRule="auto"/>
        <w:ind w:left="502" w:right="120"/>
        <w:jc w:val="both"/>
        <w:rPr>
          <w:rFonts w:ascii="Arial Narrow" w:eastAsia="Arial MT" w:hAnsi="Arial Narrow" w:cs="Arial MT"/>
          <w:b/>
          <w:bCs/>
          <w:lang w:val="pt-PT"/>
        </w:rPr>
      </w:pPr>
    </w:p>
    <w:p w14:paraId="521B2152"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5DA1C47" w14:textId="77777777" w:rsidR="00A46ECA" w:rsidRDefault="00A46ECA" w:rsidP="008B0D14">
      <w:pPr>
        <w:pStyle w:val="Corpodetexto"/>
        <w:spacing w:line="276" w:lineRule="auto"/>
        <w:jc w:val="both"/>
        <w:rPr>
          <w:rFonts w:ascii="Arial Narrow" w:hAnsi="Arial Narrow"/>
          <w:b/>
          <w:bCs/>
        </w:rPr>
      </w:pPr>
    </w:p>
    <w:p w14:paraId="4B7BD9A9"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95A0AA0" w14:textId="77777777" w:rsidR="00A46ECA" w:rsidRDefault="00A46ECA" w:rsidP="008B0D14">
      <w:pPr>
        <w:pStyle w:val="Corpodetexto"/>
        <w:spacing w:line="276" w:lineRule="auto"/>
        <w:rPr>
          <w:rFonts w:ascii="Arial Narrow" w:hAnsi="Arial Narrow"/>
          <w:b/>
          <w:bCs/>
        </w:rPr>
      </w:pPr>
    </w:p>
    <w:p w14:paraId="3E567AFC"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16B8EDBE" w14:textId="77777777" w:rsidR="00A46ECA" w:rsidRDefault="00A46ECA" w:rsidP="008B0D14">
      <w:pPr>
        <w:pStyle w:val="Corpodetexto"/>
        <w:spacing w:line="276" w:lineRule="auto"/>
        <w:rPr>
          <w:rFonts w:ascii="Arial Narrow" w:hAnsi="Arial Narrow"/>
          <w:b/>
          <w:bCs/>
        </w:rPr>
      </w:pPr>
    </w:p>
    <w:p w14:paraId="4F853D7B"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5947F02" w14:textId="77777777" w:rsidR="00A46ECA" w:rsidRDefault="00A46ECA" w:rsidP="008B0D14">
      <w:pPr>
        <w:spacing w:line="276" w:lineRule="auto"/>
        <w:ind w:right="120"/>
        <w:jc w:val="both"/>
        <w:rPr>
          <w:rFonts w:ascii="Arial Narrow" w:hAnsi="Arial Narrow"/>
          <w:b/>
          <w:bCs/>
        </w:rPr>
      </w:pPr>
    </w:p>
    <w:p w14:paraId="6CD95C12"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69AE1167" w14:textId="77777777" w:rsidR="00A46ECA" w:rsidRDefault="00A46ECA" w:rsidP="008B0D14">
      <w:pPr>
        <w:spacing w:line="276" w:lineRule="auto"/>
        <w:ind w:left="1004" w:right="120"/>
        <w:jc w:val="both"/>
        <w:rPr>
          <w:rFonts w:ascii="Arial Narrow" w:hAnsi="Arial Narrow"/>
          <w:b/>
          <w:bCs/>
        </w:rPr>
      </w:pPr>
    </w:p>
    <w:p w14:paraId="55DE87CA"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50C3563" w14:textId="77777777" w:rsidR="00A46ECA" w:rsidRDefault="00A46ECA" w:rsidP="008B0D14">
      <w:pPr>
        <w:spacing w:line="276" w:lineRule="auto"/>
        <w:ind w:left="1004" w:right="120"/>
        <w:jc w:val="both"/>
        <w:rPr>
          <w:rFonts w:ascii="Arial Narrow" w:hAnsi="Arial Narrow"/>
          <w:b/>
          <w:bCs/>
        </w:rPr>
      </w:pPr>
    </w:p>
    <w:p w14:paraId="5068EB1C" w14:textId="77777777" w:rsidR="00A46ECA" w:rsidRDefault="00A46ECA" w:rsidP="008B0D14">
      <w:pPr>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64106A56" w14:textId="77777777" w:rsidR="00A46ECA" w:rsidRDefault="00A46ECA" w:rsidP="008B0D14">
      <w:pPr>
        <w:spacing w:line="276" w:lineRule="auto"/>
        <w:ind w:left="502" w:right="120"/>
        <w:jc w:val="both"/>
        <w:rPr>
          <w:rFonts w:ascii="Arial Narrow" w:hAnsi="Arial Narrow"/>
          <w:b/>
          <w:bCs/>
        </w:rPr>
      </w:pPr>
    </w:p>
    <w:p w14:paraId="64CC44EC"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0B7D1038" w14:textId="77777777" w:rsidR="00A46ECA" w:rsidRDefault="00A46ECA" w:rsidP="008B0D14">
      <w:pPr>
        <w:spacing w:line="276" w:lineRule="auto"/>
        <w:ind w:left="1004" w:right="120"/>
        <w:jc w:val="both"/>
        <w:rPr>
          <w:rFonts w:ascii="Arial Narrow" w:hAnsi="Arial Narrow"/>
          <w:b/>
          <w:bCs/>
        </w:rPr>
      </w:pPr>
    </w:p>
    <w:p w14:paraId="57E3D8D5"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5B024ED3" w14:textId="77777777" w:rsidR="00A46ECA" w:rsidRDefault="00A46ECA" w:rsidP="008B0D14">
      <w:pPr>
        <w:spacing w:line="276" w:lineRule="auto"/>
        <w:ind w:left="1004" w:right="120"/>
        <w:jc w:val="both"/>
        <w:rPr>
          <w:rFonts w:ascii="Arial Narrow" w:hAnsi="Arial Narrow"/>
          <w:b/>
          <w:bCs/>
        </w:rPr>
      </w:pPr>
    </w:p>
    <w:p w14:paraId="0296E0A1"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1342A25" w14:textId="77777777" w:rsidR="00A46ECA" w:rsidRDefault="00A46ECA" w:rsidP="008B0D14">
      <w:pPr>
        <w:spacing w:line="276" w:lineRule="auto"/>
        <w:ind w:right="120"/>
        <w:jc w:val="both"/>
        <w:rPr>
          <w:rFonts w:ascii="Arial Narrow" w:hAnsi="Arial Narrow"/>
          <w:b/>
          <w:bCs/>
        </w:rPr>
      </w:pPr>
    </w:p>
    <w:p w14:paraId="7941CD58"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6C6F9C22" w14:textId="77777777" w:rsidR="00A46ECA" w:rsidRDefault="00A46ECA" w:rsidP="008B0D14">
      <w:pPr>
        <w:spacing w:line="276" w:lineRule="auto"/>
        <w:ind w:right="120"/>
        <w:jc w:val="both"/>
        <w:rPr>
          <w:rFonts w:ascii="Arial Narrow" w:hAnsi="Arial Narrow"/>
          <w:b/>
          <w:bCs/>
        </w:rPr>
      </w:pPr>
    </w:p>
    <w:p w14:paraId="10C5A53D"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960C365" w14:textId="77777777" w:rsidR="00A46ECA" w:rsidRDefault="00A46ECA" w:rsidP="008B0D14">
      <w:pPr>
        <w:spacing w:line="276" w:lineRule="auto"/>
        <w:rPr>
          <w:rFonts w:ascii="Arial Narrow" w:hAnsi="Arial Narrow"/>
          <w:b/>
          <w:bCs/>
        </w:rPr>
      </w:pPr>
    </w:p>
    <w:p w14:paraId="6034AFF0"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604E7782" w14:textId="77777777" w:rsidR="00A46ECA" w:rsidRDefault="00A46ECA" w:rsidP="008B0D14">
      <w:pPr>
        <w:pStyle w:val="Corpodetexto"/>
        <w:spacing w:line="276" w:lineRule="auto"/>
        <w:rPr>
          <w:rFonts w:ascii="Arial Narrow" w:hAnsi="Arial Narrow"/>
          <w:b/>
          <w:bCs/>
        </w:rPr>
      </w:pPr>
    </w:p>
    <w:p w14:paraId="3D4B9097"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16F6CCF2" w14:textId="77777777" w:rsidR="00A46ECA" w:rsidRDefault="00A46ECA" w:rsidP="008B0D14">
      <w:pPr>
        <w:pStyle w:val="Corpodetexto"/>
        <w:spacing w:line="276" w:lineRule="auto"/>
        <w:rPr>
          <w:rFonts w:ascii="Arial Narrow" w:hAnsi="Arial Narrow"/>
          <w:b/>
          <w:bCs/>
        </w:rPr>
      </w:pPr>
    </w:p>
    <w:p w14:paraId="15211C76"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324D855A" w14:textId="77777777" w:rsidR="00A46ECA" w:rsidRDefault="00A46ECA" w:rsidP="008B0D14">
      <w:pPr>
        <w:pStyle w:val="Corpodetexto"/>
        <w:spacing w:line="276" w:lineRule="auto"/>
        <w:rPr>
          <w:rFonts w:ascii="Arial Narrow" w:hAnsi="Arial Narrow"/>
          <w:b/>
          <w:bCs/>
        </w:rPr>
      </w:pPr>
    </w:p>
    <w:p w14:paraId="6301A728" w14:textId="7C31AC21"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w:t>
      </w:r>
      <w:r>
        <w:rPr>
          <w:rFonts w:ascii="Arial Narrow" w:hAnsi="Arial Narrow" w:cs="Arial"/>
        </w:rPr>
        <w:lastRenderedPageBreak/>
        <w:t xml:space="preserve">assumidas, todas </w:t>
      </w:r>
      <w:r>
        <w:rPr>
          <w:rFonts w:ascii="Arial Narrow" w:hAnsi="Arial Narrow" w:cs="Arial"/>
        </w:rPr>
        <w:t>as condições</w:t>
      </w:r>
      <w:r>
        <w:rPr>
          <w:rFonts w:ascii="Arial Narrow" w:hAnsi="Arial Narrow" w:cs="Arial"/>
        </w:rPr>
        <w:t xml:space="preserve"> de habilitação e qualificação exigidas na licitação;</w:t>
      </w:r>
    </w:p>
    <w:p w14:paraId="5176A516" w14:textId="77777777" w:rsidR="00A46ECA" w:rsidRDefault="00A46ECA" w:rsidP="008B0D14">
      <w:pPr>
        <w:pStyle w:val="Corpodetexto"/>
        <w:spacing w:line="276" w:lineRule="auto"/>
        <w:rPr>
          <w:rFonts w:ascii="Arial Narrow" w:hAnsi="Arial Narrow" w:cs="Arial"/>
        </w:rPr>
      </w:pPr>
    </w:p>
    <w:p w14:paraId="4FA82AFC"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185F844" w14:textId="77777777" w:rsidR="00A46ECA" w:rsidRDefault="00A46ECA" w:rsidP="008B0D14">
      <w:pPr>
        <w:pStyle w:val="Corpodetexto"/>
        <w:spacing w:line="276" w:lineRule="auto"/>
        <w:rPr>
          <w:rFonts w:ascii="Arial Narrow" w:hAnsi="Arial Narrow" w:cs="Arial"/>
        </w:rPr>
      </w:pPr>
    </w:p>
    <w:p w14:paraId="0B91FFB4"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7B0B5C4D" w14:textId="77777777" w:rsidR="00A46ECA" w:rsidRDefault="00A46ECA" w:rsidP="008B0D14">
      <w:pPr>
        <w:pStyle w:val="Corpodetexto"/>
        <w:spacing w:line="276" w:lineRule="auto"/>
        <w:rPr>
          <w:rFonts w:ascii="Arial Narrow" w:hAnsi="Arial Narrow" w:cs="Arial"/>
        </w:rPr>
      </w:pPr>
    </w:p>
    <w:p w14:paraId="7DE0FF5A"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3BB10E37" w14:textId="77777777" w:rsidR="00A46ECA" w:rsidRDefault="00A46ECA" w:rsidP="008B0D14">
      <w:pPr>
        <w:pStyle w:val="Corpodetexto"/>
        <w:tabs>
          <w:tab w:val="left" w:pos="834"/>
        </w:tabs>
        <w:spacing w:line="276" w:lineRule="auto"/>
        <w:ind w:left="833"/>
        <w:rPr>
          <w:rFonts w:ascii="Arial Narrow" w:hAnsi="Arial Narrow" w:cs="Arial"/>
        </w:rPr>
      </w:pPr>
    </w:p>
    <w:p w14:paraId="127B2AD3"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A26A823" w14:textId="77777777" w:rsidR="00A46ECA" w:rsidRDefault="00A46ECA" w:rsidP="008B0D14">
      <w:pPr>
        <w:pStyle w:val="Corpodetexto"/>
        <w:spacing w:line="276" w:lineRule="auto"/>
        <w:rPr>
          <w:rFonts w:ascii="Arial Narrow" w:hAnsi="Arial Narrow" w:cs="Arial"/>
        </w:rPr>
      </w:pPr>
    </w:p>
    <w:p w14:paraId="580D0521"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068AA898" w14:textId="77777777" w:rsidR="00A46ECA" w:rsidRDefault="00A46ECA" w:rsidP="008B0D14">
      <w:pPr>
        <w:pStyle w:val="Corpodetexto"/>
        <w:spacing w:line="276" w:lineRule="auto"/>
        <w:rPr>
          <w:rFonts w:ascii="Arial Narrow" w:hAnsi="Arial Narrow" w:cs="Arial"/>
        </w:rPr>
      </w:pPr>
    </w:p>
    <w:p w14:paraId="10728E63"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15CD242A" w14:textId="77777777" w:rsidR="00A46ECA" w:rsidRDefault="00A46ECA" w:rsidP="008B0D14">
      <w:pPr>
        <w:pStyle w:val="Corpodetexto"/>
        <w:spacing w:line="276" w:lineRule="auto"/>
        <w:rPr>
          <w:rFonts w:ascii="Arial Narrow" w:hAnsi="Arial Narrow" w:cs="Arial"/>
        </w:rPr>
      </w:pPr>
    </w:p>
    <w:p w14:paraId="79F11B92"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Atender as diretrizes da LGPD (Lei Geral de Proteção de Dados);</w:t>
      </w:r>
    </w:p>
    <w:p w14:paraId="31BBB8B6" w14:textId="77777777" w:rsidR="00A46ECA" w:rsidRDefault="00A46ECA" w:rsidP="008B0D14">
      <w:pPr>
        <w:pStyle w:val="Corpodetexto"/>
        <w:spacing w:line="276" w:lineRule="auto"/>
        <w:rPr>
          <w:rFonts w:ascii="Arial Narrow" w:hAnsi="Arial Narrow" w:cs="Arial"/>
        </w:rPr>
      </w:pPr>
    </w:p>
    <w:p w14:paraId="09A9DD96"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54A67133" w14:textId="77777777" w:rsidR="00A46ECA" w:rsidRDefault="00A46ECA" w:rsidP="008B0D14">
      <w:pPr>
        <w:pStyle w:val="Corpodetexto"/>
        <w:tabs>
          <w:tab w:val="left" w:pos="834"/>
        </w:tabs>
        <w:spacing w:line="276" w:lineRule="auto"/>
        <w:ind w:left="833" w:right="122"/>
        <w:rPr>
          <w:rFonts w:ascii="Arial Narrow" w:hAnsi="Arial Narrow" w:cs="Arial"/>
        </w:rPr>
      </w:pPr>
    </w:p>
    <w:p w14:paraId="105183BA"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2373403" w14:textId="77777777" w:rsidR="00A46ECA" w:rsidRDefault="00A46ECA" w:rsidP="008B0D14">
      <w:pPr>
        <w:pStyle w:val="Corpodetexto"/>
        <w:spacing w:line="276" w:lineRule="auto"/>
        <w:rPr>
          <w:rFonts w:ascii="Arial Narrow" w:hAnsi="Arial Narrow"/>
          <w:b/>
          <w:bCs/>
        </w:rPr>
      </w:pPr>
    </w:p>
    <w:p w14:paraId="3AD32ED5"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2B86FC1" w14:textId="1193BF8E" w:rsidR="00A46ECA" w:rsidRDefault="00A46ECA" w:rsidP="008B0D14">
      <w:pPr>
        <w:widowControl w:val="0"/>
        <w:numPr>
          <w:ilvl w:val="2"/>
          <w:numId w:val="16"/>
        </w:numPr>
        <w:autoSpaceDE w:val="0"/>
        <w:autoSpaceDN w:val="0"/>
        <w:spacing w:line="276" w:lineRule="auto"/>
        <w:ind w:right="120"/>
        <w:jc w:val="both"/>
        <w:rPr>
          <w:rFonts w:ascii="Arial Narrow" w:hAnsi="Arial Narrow"/>
          <w:b/>
          <w:bCs/>
        </w:rPr>
      </w:pPr>
      <w:r>
        <w:rPr>
          <w:rFonts w:ascii="Arial Narrow" w:hAnsi="Arial Narrow"/>
        </w:rPr>
        <w:t xml:space="preserve">Atender os critérios dos </w:t>
      </w:r>
      <w:r>
        <w:rPr>
          <w:rFonts w:ascii="Arial Narrow" w:hAnsi="Arial Narrow"/>
        </w:rPr>
        <w:t>órgãos</w:t>
      </w:r>
      <w:r>
        <w:rPr>
          <w:rFonts w:ascii="Arial Narrow" w:hAnsi="Arial Narrow"/>
        </w:rPr>
        <w:t xml:space="preserve"> regulamentadores de produtos e serviços.</w:t>
      </w:r>
    </w:p>
    <w:p w14:paraId="08A418CE" w14:textId="77777777" w:rsidR="00A46ECA" w:rsidRDefault="00A46ECA" w:rsidP="008B0D14">
      <w:pPr>
        <w:pStyle w:val="Corpodetexto"/>
        <w:spacing w:line="276" w:lineRule="auto"/>
        <w:rPr>
          <w:rFonts w:ascii="Arial Narrow" w:hAnsi="Arial Narrow"/>
          <w:b/>
          <w:bCs/>
        </w:rPr>
      </w:pPr>
    </w:p>
    <w:p w14:paraId="1A585A93" w14:textId="77777777" w:rsidR="00A46ECA" w:rsidRDefault="00A46ECA" w:rsidP="008B0D14">
      <w:pPr>
        <w:widowControl w:val="0"/>
        <w:numPr>
          <w:ilvl w:val="1"/>
          <w:numId w:val="16"/>
        </w:numPr>
        <w:autoSpaceDE w:val="0"/>
        <w:autoSpaceDN w:val="0"/>
        <w:spacing w:line="276"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A9774AC" w14:textId="77777777" w:rsidR="00A46ECA" w:rsidRDefault="00A46ECA" w:rsidP="008B0D14">
      <w:pPr>
        <w:spacing w:line="276" w:lineRule="auto"/>
        <w:ind w:left="502" w:right="120"/>
        <w:jc w:val="both"/>
        <w:rPr>
          <w:rFonts w:ascii="Arial Narrow" w:hAnsi="Arial Narrow"/>
          <w:b/>
          <w:bCs/>
        </w:rPr>
      </w:pPr>
    </w:p>
    <w:p w14:paraId="2F63B7F6"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Receber o objeto no prazo e condições estabelecidas no Edital e seus anexos;</w:t>
      </w:r>
    </w:p>
    <w:p w14:paraId="1F952B2A" w14:textId="77777777" w:rsidR="00A46ECA" w:rsidRDefault="00A46ECA" w:rsidP="008B0D14">
      <w:pPr>
        <w:spacing w:line="276" w:lineRule="auto"/>
        <w:ind w:left="502" w:right="120"/>
        <w:jc w:val="both"/>
        <w:rPr>
          <w:rFonts w:ascii="Arial Narrow" w:hAnsi="Arial Narrow"/>
        </w:rPr>
      </w:pPr>
    </w:p>
    <w:p w14:paraId="38A5B915"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48BA37C4" w14:textId="77777777" w:rsidR="00A46ECA" w:rsidRDefault="00A46ECA" w:rsidP="008B0D14">
      <w:pPr>
        <w:spacing w:line="276" w:lineRule="auto"/>
        <w:ind w:left="502" w:right="120"/>
        <w:jc w:val="both"/>
        <w:rPr>
          <w:rFonts w:ascii="Arial Narrow" w:hAnsi="Arial Narrow"/>
        </w:rPr>
      </w:pPr>
    </w:p>
    <w:p w14:paraId="2AFA2B94"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A668A48" w14:textId="77777777" w:rsidR="00A46ECA" w:rsidRDefault="00A46ECA" w:rsidP="008B0D14">
      <w:pPr>
        <w:spacing w:line="276" w:lineRule="auto"/>
        <w:ind w:left="502" w:right="120"/>
        <w:jc w:val="both"/>
        <w:rPr>
          <w:rFonts w:ascii="Arial Narrow" w:hAnsi="Arial Narrow"/>
        </w:rPr>
      </w:pPr>
    </w:p>
    <w:p w14:paraId="2AD3CADE"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A1A70E8" w14:textId="77777777" w:rsidR="00A46ECA" w:rsidRDefault="00A46ECA" w:rsidP="008B0D14">
      <w:pPr>
        <w:spacing w:line="276" w:lineRule="auto"/>
        <w:ind w:left="502" w:right="120"/>
        <w:jc w:val="both"/>
        <w:rPr>
          <w:rFonts w:ascii="Arial Narrow" w:hAnsi="Arial Narrow"/>
        </w:rPr>
      </w:pPr>
    </w:p>
    <w:p w14:paraId="036A27FC"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lastRenderedPageBreak/>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1A8CAEC3" w14:textId="77777777" w:rsidR="00A46ECA" w:rsidRDefault="00A46ECA" w:rsidP="008B0D14">
      <w:pPr>
        <w:spacing w:line="276" w:lineRule="auto"/>
        <w:ind w:right="120"/>
        <w:jc w:val="both"/>
        <w:rPr>
          <w:rFonts w:ascii="Arial Narrow" w:hAnsi="Arial Narrow"/>
        </w:rPr>
      </w:pPr>
    </w:p>
    <w:p w14:paraId="22193BDE" w14:textId="7F999789"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Pr>
          <w:rFonts w:ascii="Arial Narrow" w:hAnsi="Arial Narrow"/>
        </w:rPr>
        <w:t>ou subordinados</w:t>
      </w:r>
      <w:r>
        <w:rPr>
          <w:rFonts w:ascii="Arial Narrow" w:hAnsi="Arial Narrow"/>
        </w:rPr>
        <w:t>;</w:t>
      </w:r>
    </w:p>
    <w:p w14:paraId="3D1A82FF" w14:textId="77777777" w:rsidR="00A46ECA" w:rsidRDefault="00A46ECA" w:rsidP="008B0D14">
      <w:pPr>
        <w:spacing w:line="276" w:lineRule="auto"/>
        <w:ind w:left="502" w:right="120"/>
        <w:jc w:val="both"/>
        <w:rPr>
          <w:rFonts w:ascii="Arial Narrow" w:hAnsi="Arial Narrow"/>
        </w:rPr>
      </w:pPr>
    </w:p>
    <w:p w14:paraId="3D205830"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1CE40454" w14:textId="77777777" w:rsidR="00A46ECA" w:rsidRDefault="00A46ECA" w:rsidP="008B0D14">
      <w:pPr>
        <w:pStyle w:val="Corpodetexto"/>
        <w:spacing w:line="276" w:lineRule="auto"/>
        <w:rPr>
          <w:rFonts w:ascii="Arial Narrow" w:hAnsi="Arial Narrow"/>
        </w:rPr>
      </w:pPr>
    </w:p>
    <w:p w14:paraId="7286CAA7"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8195517" w14:textId="77777777" w:rsidR="00A46ECA" w:rsidRDefault="00A46ECA" w:rsidP="008B0D14">
      <w:pPr>
        <w:pStyle w:val="Corpodetexto"/>
        <w:spacing w:line="276" w:lineRule="auto"/>
        <w:rPr>
          <w:rFonts w:ascii="Arial Narrow" w:hAnsi="Arial Narrow"/>
        </w:rPr>
      </w:pPr>
    </w:p>
    <w:p w14:paraId="3EE226E7" w14:textId="77777777" w:rsidR="00A46ECA" w:rsidRDefault="00A46ECA" w:rsidP="008B0D14">
      <w:pPr>
        <w:widowControl w:val="0"/>
        <w:numPr>
          <w:ilvl w:val="2"/>
          <w:numId w:val="16"/>
        </w:numPr>
        <w:autoSpaceDE w:val="0"/>
        <w:autoSpaceDN w:val="0"/>
        <w:spacing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04FB33B4" w14:textId="77777777" w:rsidR="00A46ECA" w:rsidRDefault="00A46ECA" w:rsidP="008B0D14">
      <w:pPr>
        <w:pStyle w:val="Corpodetexto"/>
        <w:spacing w:line="276" w:lineRule="auto"/>
        <w:rPr>
          <w:rFonts w:ascii="Arial Narrow" w:hAnsi="Arial Narrow"/>
        </w:rPr>
      </w:pPr>
    </w:p>
    <w:p w14:paraId="33FB3451" w14:textId="77777777" w:rsidR="00A46ECA" w:rsidRDefault="00A46ECA" w:rsidP="008B0D14">
      <w:pPr>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DO CANCELAMENTO</w:t>
      </w:r>
    </w:p>
    <w:p w14:paraId="4712DC8B" w14:textId="77777777" w:rsidR="00A46ECA" w:rsidRDefault="00A46ECA" w:rsidP="008B0D14">
      <w:pPr>
        <w:spacing w:line="276" w:lineRule="auto"/>
        <w:ind w:left="360" w:right="120"/>
        <w:jc w:val="both"/>
        <w:rPr>
          <w:rFonts w:ascii="Arial Narrow" w:hAnsi="Arial Narrow"/>
          <w:b/>
          <w:bCs/>
        </w:rPr>
      </w:pPr>
    </w:p>
    <w:p w14:paraId="39A3A786"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A detentora terá seu Registro cancelado quando:</w:t>
      </w:r>
    </w:p>
    <w:p w14:paraId="565E9027" w14:textId="77777777" w:rsidR="00A46ECA" w:rsidRDefault="00A46ECA" w:rsidP="008B0D14">
      <w:pPr>
        <w:widowControl w:val="0"/>
        <w:numPr>
          <w:ilvl w:val="3"/>
          <w:numId w:val="17"/>
        </w:numPr>
        <w:autoSpaceDE w:val="0"/>
        <w:autoSpaceDN w:val="0"/>
        <w:spacing w:line="276" w:lineRule="auto"/>
        <w:ind w:left="993" w:right="120" w:hanging="284"/>
        <w:jc w:val="both"/>
        <w:rPr>
          <w:rFonts w:ascii="Arial Narrow" w:hAnsi="Arial Narrow"/>
          <w:b/>
          <w:bCs/>
        </w:rPr>
      </w:pPr>
      <w:r>
        <w:rPr>
          <w:rFonts w:ascii="Arial Narrow" w:hAnsi="Arial Narrow"/>
        </w:rPr>
        <w:t>Descumprir as condições desta Ata de Registro de Preços;</w:t>
      </w:r>
    </w:p>
    <w:p w14:paraId="04CD0528" w14:textId="77777777" w:rsidR="00A46ECA" w:rsidRDefault="00A46ECA" w:rsidP="008B0D14">
      <w:pPr>
        <w:widowControl w:val="0"/>
        <w:numPr>
          <w:ilvl w:val="3"/>
          <w:numId w:val="17"/>
        </w:numPr>
        <w:autoSpaceDE w:val="0"/>
        <w:autoSpaceDN w:val="0"/>
        <w:spacing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84B92F7" w14:textId="77777777" w:rsidR="00A46ECA" w:rsidRDefault="00A46ECA" w:rsidP="008B0D14">
      <w:pPr>
        <w:widowControl w:val="0"/>
        <w:numPr>
          <w:ilvl w:val="3"/>
          <w:numId w:val="17"/>
        </w:numPr>
        <w:autoSpaceDE w:val="0"/>
        <w:autoSpaceDN w:val="0"/>
        <w:spacing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651F9DB" w14:textId="77777777" w:rsidR="00A46ECA" w:rsidRDefault="00A46ECA" w:rsidP="008B0D14">
      <w:pPr>
        <w:widowControl w:val="0"/>
        <w:numPr>
          <w:ilvl w:val="3"/>
          <w:numId w:val="17"/>
        </w:numPr>
        <w:autoSpaceDE w:val="0"/>
        <w:autoSpaceDN w:val="0"/>
        <w:spacing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61EAFE27" w14:textId="77777777" w:rsidR="00A46ECA" w:rsidRDefault="00A46ECA" w:rsidP="008B0D14">
      <w:pPr>
        <w:spacing w:line="276" w:lineRule="auto"/>
        <w:ind w:left="502" w:right="120"/>
        <w:jc w:val="both"/>
        <w:rPr>
          <w:rFonts w:ascii="Arial Narrow" w:hAnsi="Arial Narrow"/>
          <w:b/>
          <w:bCs/>
        </w:rPr>
      </w:pPr>
    </w:p>
    <w:p w14:paraId="0F2515D5"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CC342EE" w14:textId="77777777" w:rsidR="00A46ECA" w:rsidRDefault="00A46ECA" w:rsidP="008B0D14">
      <w:pPr>
        <w:spacing w:line="276" w:lineRule="auto"/>
        <w:ind w:left="709" w:right="120"/>
        <w:jc w:val="both"/>
        <w:rPr>
          <w:rFonts w:ascii="Arial Narrow" w:hAnsi="Arial Narrow"/>
          <w:b/>
          <w:bCs/>
        </w:rPr>
      </w:pPr>
    </w:p>
    <w:p w14:paraId="09EB60EF"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5F25458" w14:textId="77777777" w:rsidR="00A46ECA" w:rsidRDefault="00A46ECA" w:rsidP="008B0D14">
      <w:pPr>
        <w:pStyle w:val="Corpodetexto"/>
        <w:widowControl w:val="0"/>
        <w:numPr>
          <w:ilvl w:val="4"/>
          <w:numId w:val="18"/>
        </w:numPr>
        <w:autoSpaceDE w:val="0"/>
        <w:autoSpaceDN w:val="0"/>
        <w:spacing w:after="0" w:line="276" w:lineRule="auto"/>
        <w:rPr>
          <w:rFonts w:ascii="Arial Narrow" w:hAnsi="Arial Narrow"/>
          <w:b/>
          <w:bCs/>
        </w:rPr>
      </w:pPr>
      <w:r>
        <w:rPr>
          <w:rFonts w:ascii="Arial Narrow" w:hAnsi="Arial Narrow"/>
        </w:rPr>
        <w:t>Por razão de interesse público; ou</w:t>
      </w:r>
    </w:p>
    <w:p w14:paraId="5C9A6B31" w14:textId="77777777" w:rsidR="00A46ECA" w:rsidRDefault="00A46ECA" w:rsidP="008B0D14">
      <w:pPr>
        <w:pStyle w:val="Corpodetexto"/>
        <w:widowControl w:val="0"/>
        <w:numPr>
          <w:ilvl w:val="4"/>
          <w:numId w:val="18"/>
        </w:numPr>
        <w:autoSpaceDE w:val="0"/>
        <w:autoSpaceDN w:val="0"/>
        <w:spacing w:after="0" w:line="276" w:lineRule="auto"/>
        <w:rPr>
          <w:rFonts w:ascii="Arial Narrow" w:hAnsi="Arial Narrow"/>
          <w:b/>
          <w:bCs/>
        </w:rPr>
      </w:pPr>
      <w:r>
        <w:rPr>
          <w:rFonts w:ascii="Arial Narrow" w:hAnsi="Arial Narrow"/>
        </w:rPr>
        <w:t>A pedido do fornecedor.</w:t>
      </w:r>
    </w:p>
    <w:p w14:paraId="2B0F0B9F" w14:textId="77777777" w:rsidR="00A46ECA" w:rsidRDefault="00A46ECA" w:rsidP="008B0D14">
      <w:pPr>
        <w:pStyle w:val="Corpodetexto"/>
        <w:spacing w:line="276" w:lineRule="auto"/>
        <w:rPr>
          <w:rFonts w:ascii="Arial Narrow" w:hAnsi="Arial Narrow"/>
          <w:b/>
          <w:bCs/>
        </w:rPr>
      </w:pPr>
    </w:p>
    <w:p w14:paraId="7B3D9DE9"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5DFFAF8" w14:textId="51F248CE" w:rsidR="00A46ECA" w:rsidRDefault="00A46ECA" w:rsidP="008B0D14">
      <w:pPr>
        <w:spacing w:line="276" w:lineRule="auto"/>
        <w:ind w:left="360" w:right="120"/>
        <w:jc w:val="both"/>
        <w:rPr>
          <w:rFonts w:ascii="Arial Narrow" w:hAnsi="Arial Narrow"/>
          <w:b/>
          <w:bCs/>
        </w:rPr>
      </w:pPr>
    </w:p>
    <w:p w14:paraId="56DFF8E0" w14:textId="77777777" w:rsidR="008B0D14" w:rsidRDefault="008B0D14" w:rsidP="008B0D14">
      <w:pPr>
        <w:spacing w:line="276" w:lineRule="auto"/>
        <w:ind w:left="360" w:right="120"/>
        <w:jc w:val="both"/>
        <w:rPr>
          <w:rFonts w:ascii="Arial Narrow" w:hAnsi="Arial Narrow"/>
          <w:b/>
          <w:bCs/>
        </w:rPr>
      </w:pPr>
    </w:p>
    <w:p w14:paraId="7CABB15D" w14:textId="77777777" w:rsidR="00A46ECA" w:rsidRDefault="00A46ECA" w:rsidP="008B0D14">
      <w:pPr>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DA LEI GERAL DE PROTEÇÃO DE DADOS (LGPD)</w:t>
      </w:r>
    </w:p>
    <w:p w14:paraId="61C0429B" w14:textId="77777777" w:rsidR="00A46ECA" w:rsidRDefault="00A46ECA" w:rsidP="008B0D14">
      <w:pPr>
        <w:spacing w:line="276" w:lineRule="auto"/>
        <w:ind w:left="360" w:right="120"/>
        <w:jc w:val="both"/>
        <w:rPr>
          <w:rFonts w:ascii="Arial Narrow" w:hAnsi="Arial Narrow"/>
          <w:b/>
          <w:bCs/>
        </w:rPr>
      </w:pPr>
    </w:p>
    <w:p w14:paraId="27C81E09"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 xml:space="preserve">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w:t>
      </w:r>
      <w:r>
        <w:rPr>
          <w:rFonts w:ascii="Arial Narrow" w:hAnsi="Arial Narrow"/>
        </w:rPr>
        <w:lastRenderedPageBreak/>
        <w:t>de órgãos reguladores e/ou fiscalizadores, durante o cumprimento do objeto descrito no presente instrumento.</w:t>
      </w:r>
    </w:p>
    <w:p w14:paraId="4334FE0F" w14:textId="77777777" w:rsidR="00A46ECA" w:rsidRDefault="00A46ECA" w:rsidP="008B0D14">
      <w:pPr>
        <w:spacing w:line="276" w:lineRule="auto"/>
        <w:ind w:left="502" w:right="120"/>
        <w:jc w:val="both"/>
        <w:rPr>
          <w:rFonts w:ascii="Arial Narrow" w:hAnsi="Arial Narrow"/>
        </w:rPr>
      </w:pPr>
    </w:p>
    <w:p w14:paraId="63036787"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4A79D55" w14:textId="77777777" w:rsidR="00A46ECA" w:rsidRDefault="00A46ECA" w:rsidP="008B0D14">
      <w:pPr>
        <w:spacing w:line="276" w:lineRule="auto"/>
        <w:ind w:left="502" w:right="120"/>
        <w:jc w:val="both"/>
        <w:rPr>
          <w:rFonts w:ascii="Arial Narrow" w:hAnsi="Arial Narrow"/>
        </w:rPr>
      </w:pPr>
    </w:p>
    <w:p w14:paraId="7D4B7FF2"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4785E59" w14:textId="77777777" w:rsidR="00A46ECA" w:rsidRDefault="00A46ECA" w:rsidP="008B0D14">
      <w:pPr>
        <w:spacing w:line="276" w:lineRule="auto"/>
        <w:ind w:left="502" w:right="120"/>
        <w:jc w:val="both"/>
        <w:rPr>
          <w:rFonts w:ascii="Arial Narrow" w:hAnsi="Arial Narrow"/>
        </w:rPr>
      </w:pPr>
    </w:p>
    <w:p w14:paraId="28C86ADA"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BB803F7" w14:textId="77777777" w:rsidR="00A46ECA" w:rsidRDefault="00A46ECA" w:rsidP="008B0D14">
      <w:pPr>
        <w:spacing w:line="276" w:lineRule="auto"/>
        <w:ind w:left="502" w:right="120"/>
        <w:jc w:val="both"/>
        <w:rPr>
          <w:rFonts w:ascii="Arial Narrow" w:hAnsi="Arial Narrow"/>
        </w:rPr>
      </w:pPr>
    </w:p>
    <w:p w14:paraId="4D7CDB3E"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9F3C26C" w14:textId="77777777" w:rsidR="00A46ECA" w:rsidRDefault="00A46ECA" w:rsidP="008B0D14">
      <w:pPr>
        <w:spacing w:line="276" w:lineRule="auto"/>
        <w:ind w:left="502" w:right="120"/>
        <w:jc w:val="both"/>
        <w:rPr>
          <w:rFonts w:ascii="Arial Narrow" w:hAnsi="Arial Narrow"/>
        </w:rPr>
      </w:pPr>
    </w:p>
    <w:p w14:paraId="27768E77"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0A442DEC" w14:textId="77777777" w:rsidR="00A46ECA" w:rsidRDefault="00A46ECA" w:rsidP="008B0D14">
      <w:pPr>
        <w:spacing w:line="276" w:lineRule="auto"/>
        <w:ind w:left="502" w:right="120"/>
        <w:jc w:val="both"/>
        <w:rPr>
          <w:rFonts w:ascii="Arial Narrow" w:hAnsi="Arial Narrow"/>
        </w:rPr>
      </w:pPr>
    </w:p>
    <w:p w14:paraId="74A25D2B" w14:textId="2B4C3559"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Pr>
          <w:rFonts w:ascii="Arial Narrow" w:hAnsi="Arial Narrow"/>
        </w:rPr>
        <w:t>alertando-os</w:t>
      </w:r>
      <w:r>
        <w:rPr>
          <w:rFonts w:ascii="Arial Narrow" w:hAnsi="Arial Narrow"/>
        </w:rPr>
        <w:t xml:space="preserve"> sobre as responsabilidades decorrentes do descumprimento de tal dever.</w:t>
      </w:r>
    </w:p>
    <w:p w14:paraId="13DD41CB" w14:textId="77777777" w:rsidR="00A46ECA" w:rsidRDefault="00A46ECA" w:rsidP="008B0D14">
      <w:pPr>
        <w:spacing w:line="276" w:lineRule="auto"/>
        <w:ind w:left="502" w:right="120"/>
        <w:jc w:val="both"/>
        <w:rPr>
          <w:rFonts w:ascii="Arial Narrow" w:hAnsi="Arial Narrow"/>
        </w:rPr>
      </w:pPr>
    </w:p>
    <w:p w14:paraId="2A31D64C"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54F6FB5F" w14:textId="77777777" w:rsidR="00A46ECA" w:rsidRDefault="00A46ECA" w:rsidP="008B0D14">
      <w:pPr>
        <w:spacing w:line="276" w:lineRule="auto"/>
        <w:ind w:left="502" w:right="120"/>
        <w:jc w:val="both"/>
        <w:rPr>
          <w:rFonts w:ascii="Arial Narrow" w:hAnsi="Arial Narrow"/>
        </w:rPr>
      </w:pPr>
    </w:p>
    <w:p w14:paraId="22165C95"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4EEA7747" w14:textId="77777777" w:rsidR="00A46ECA" w:rsidRDefault="00A46ECA" w:rsidP="008B0D14">
      <w:pPr>
        <w:spacing w:line="276" w:lineRule="auto"/>
        <w:ind w:left="502" w:right="120"/>
        <w:jc w:val="both"/>
        <w:rPr>
          <w:rFonts w:ascii="Arial Narrow" w:hAnsi="Arial Narrow"/>
        </w:rPr>
      </w:pPr>
    </w:p>
    <w:p w14:paraId="13EEACA5"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46620537" w14:textId="77777777" w:rsidR="00A46ECA" w:rsidRDefault="00A46ECA" w:rsidP="008B0D14">
      <w:pPr>
        <w:spacing w:line="276" w:lineRule="auto"/>
        <w:ind w:left="502" w:right="120"/>
        <w:jc w:val="both"/>
        <w:rPr>
          <w:rFonts w:ascii="Arial Narrow" w:hAnsi="Arial Narrow"/>
        </w:rPr>
      </w:pPr>
    </w:p>
    <w:p w14:paraId="396EEF90"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6FE94652" w14:textId="77777777" w:rsidR="00A46ECA" w:rsidRDefault="00A46ECA" w:rsidP="008B0D14">
      <w:pPr>
        <w:spacing w:line="276" w:lineRule="auto"/>
        <w:ind w:left="502" w:right="120"/>
        <w:jc w:val="both"/>
        <w:rPr>
          <w:rFonts w:ascii="Arial Narrow" w:hAnsi="Arial Narrow"/>
        </w:rPr>
      </w:pPr>
    </w:p>
    <w:p w14:paraId="633B9DEA"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 xml:space="preserve">Em caso de ocorrência de prejuízo aos titulares de dados e/ou às PARTES decorrentes da não observância nas </w:t>
      </w:r>
      <w:r>
        <w:rPr>
          <w:rFonts w:ascii="Arial Narrow" w:hAnsi="Arial Narrow"/>
        </w:rPr>
        <w:lastRenderedPageBreak/>
        <w:t>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1260A08" w14:textId="77777777" w:rsidR="00A46ECA" w:rsidRDefault="00A46ECA" w:rsidP="008B0D14">
      <w:pPr>
        <w:spacing w:line="276" w:lineRule="auto"/>
        <w:ind w:left="502" w:right="120"/>
        <w:jc w:val="both"/>
        <w:rPr>
          <w:rFonts w:ascii="Arial Narrow" w:hAnsi="Arial Narrow"/>
        </w:rPr>
      </w:pPr>
    </w:p>
    <w:p w14:paraId="2B5B773A"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6EF9A6E3" w14:textId="77777777" w:rsidR="00A46ECA" w:rsidRDefault="00A46ECA" w:rsidP="008B0D14">
      <w:pPr>
        <w:pStyle w:val="Corpodetexto"/>
        <w:spacing w:line="276" w:lineRule="auto"/>
        <w:rPr>
          <w:rFonts w:ascii="Arial Narrow" w:hAnsi="Arial Narrow"/>
          <w:b/>
          <w:bCs/>
        </w:rPr>
      </w:pPr>
    </w:p>
    <w:p w14:paraId="7A844E5B" w14:textId="77777777" w:rsidR="00A46ECA" w:rsidRDefault="00A46ECA" w:rsidP="008B0D14">
      <w:pPr>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DAS INFRAÇÕES E SANÇÕES ADMINISTRATIVAS</w:t>
      </w:r>
    </w:p>
    <w:p w14:paraId="40BEF344" w14:textId="77777777" w:rsidR="00A46ECA" w:rsidRDefault="00A46ECA" w:rsidP="008B0D14">
      <w:pPr>
        <w:spacing w:line="276" w:lineRule="auto"/>
        <w:ind w:left="360" w:right="120"/>
        <w:jc w:val="both"/>
        <w:rPr>
          <w:rFonts w:ascii="Arial Narrow" w:hAnsi="Arial Narrow"/>
          <w:b/>
          <w:bCs/>
        </w:rPr>
      </w:pPr>
    </w:p>
    <w:p w14:paraId="78875B6E" w14:textId="4D4A7AC5"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BCB8218" w14:textId="77777777" w:rsidR="00A46ECA" w:rsidRDefault="00A46ECA" w:rsidP="008B0D14">
      <w:pPr>
        <w:spacing w:line="276" w:lineRule="auto"/>
        <w:ind w:left="142" w:right="120"/>
        <w:jc w:val="both"/>
        <w:rPr>
          <w:rFonts w:ascii="Arial Narrow" w:hAnsi="Arial Narrow"/>
          <w:b/>
          <w:bCs/>
        </w:rPr>
      </w:pPr>
    </w:p>
    <w:p w14:paraId="494ACBBA" w14:textId="234E9AED"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 xml:space="preserve">Para cumprimento dessa cláusula, considera-se para o ato </w:t>
      </w:r>
      <w:r>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557685E5" w14:textId="77777777" w:rsidR="00A46ECA" w:rsidRDefault="00A46ECA" w:rsidP="008B0D14">
      <w:pPr>
        <w:spacing w:line="276" w:lineRule="auto"/>
        <w:ind w:left="502" w:right="120"/>
        <w:jc w:val="both"/>
        <w:rPr>
          <w:rFonts w:ascii="Arial Narrow" w:hAnsi="Arial Narrow"/>
          <w:b/>
          <w:bCs/>
        </w:rPr>
      </w:pPr>
    </w:p>
    <w:p w14:paraId="3EFB8E8A"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Comete infração administrativa, nos termos da Lei 14.133/2021, o detentor que:</w:t>
      </w:r>
    </w:p>
    <w:p w14:paraId="539810A2"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der causa à inexecução parcial do contrato;</w:t>
      </w:r>
    </w:p>
    <w:p w14:paraId="0BC30227"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533649D7"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der causa à inexecução total do contrato;</w:t>
      </w:r>
    </w:p>
    <w:p w14:paraId="64BB955E"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0B5E364E"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38560B2E"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praticar ato fraudulento na execução do contrato;</w:t>
      </w:r>
    </w:p>
    <w:p w14:paraId="57F7AA11"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53443D85" w14:textId="77777777" w:rsidR="00A46ECA" w:rsidRDefault="00A46ECA" w:rsidP="008B0D14">
      <w:pPr>
        <w:widowControl w:val="0"/>
        <w:numPr>
          <w:ilvl w:val="2"/>
          <w:numId w:val="19"/>
        </w:numPr>
        <w:autoSpaceDE w:val="0"/>
        <w:autoSpaceDN w:val="0"/>
        <w:spacing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7BF8EE01" w14:textId="77777777" w:rsidR="00A46ECA" w:rsidRDefault="00A46ECA" w:rsidP="008B0D14">
      <w:pPr>
        <w:spacing w:line="276" w:lineRule="auto"/>
        <w:ind w:left="502" w:right="120"/>
        <w:jc w:val="both"/>
        <w:rPr>
          <w:rFonts w:ascii="Arial Narrow" w:hAnsi="Arial Narrow"/>
          <w:b/>
          <w:bCs/>
        </w:rPr>
      </w:pPr>
    </w:p>
    <w:p w14:paraId="17CFA2A3" w14:textId="77777777" w:rsidR="00A46ECA" w:rsidRDefault="00A46ECA" w:rsidP="008B0D14">
      <w:pPr>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139F0DE0" w14:textId="77777777" w:rsidR="00A46ECA" w:rsidRDefault="00A46ECA" w:rsidP="008B0D14">
      <w:pPr>
        <w:spacing w:line="276" w:lineRule="auto"/>
        <w:ind w:left="142" w:right="120"/>
        <w:jc w:val="both"/>
        <w:rPr>
          <w:rFonts w:ascii="Arial Narrow" w:hAnsi="Arial Narrow"/>
          <w:b/>
          <w:bCs/>
        </w:rPr>
      </w:pPr>
    </w:p>
    <w:p w14:paraId="57E408DD"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6234F2DB" w14:textId="77777777" w:rsidR="00A46ECA" w:rsidRDefault="00A46ECA" w:rsidP="008B0D14">
      <w:pPr>
        <w:spacing w:line="276" w:lineRule="auto"/>
        <w:ind w:right="120"/>
        <w:jc w:val="both"/>
        <w:rPr>
          <w:rFonts w:ascii="Arial Narrow" w:hAnsi="Arial Narrow"/>
          <w:b/>
          <w:bCs/>
        </w:rPr>
      </w:pPr>
    </w:p>
    <w:p w14:paraId="24559CF8"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Multa:</w:t>
      </w:r>
    </w:p>
    <w:p w14:paraId="03738EAB" w14:textId="77777777" w:rsidR="00A46ECA" w:rsidRDefault="00A46ECA" w:rsidP="008B0D14">
      <w:pPr>
        <w:pStyle w:val="Corpodetexto"/>
        <w:spacing w:line="276" w:lineRule="auto"/>
        <w:rPr>
          <w:rFonts w:ascii="Arial Narrow" w:hAnsi="Arial Narrow"/>
          <w:b/>
          <w:bCs/>
        </w:rPr>
      </w:pPr>
    </w:p>
    <w:p w14:paraId="0334EEEC" w14:textId="77777777" w:rsidR="00A46ECA" w:rsidRDefault="00A46ECA" w:rsidP="008B0D14">
      <w:pPr>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20BE7B13" w14:textId="1EC9C9CC" w:rsidR="00A46ECA" w:rsidRDefault="00A46ECA" w:rsidP="008B0D14">
      <w:pPr>
        <w:widowControl w:val="0"/>
        <w:numPr>
          <w:ilvl w:val="0"/>
          <w:numId w:val="20"/>
        </w:numPr>
        <w:autoSpaceDE w:val="0"/>
        <w:autoSpaceDN w:val="0"/>
        <w:spacing w:line="276"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3E4F5082" w14:textId="77777777" w:rsidR="00EF0338" w:rsidRDefault="00EF0338" w:rsidP="00EF0338">
      <w:pPr>
        <w:widowControl w:val="0"/>
        <w:autoSpaceDE w:val="0"/>
        <w:autoSpaceDN w:val="0"/>
        <w:spacing w:line="276" w:lineRule="auto"/>
        <w:ind w:left="1134" w:right="120"/>
        <w:jc w:val="both"/>
        <w:rPr>
          <w:rFonts w:ascii="Arial Narrow" w:hAnsi="Arial Narrow"/>
        </w:rPr>
      </w:pPr>
    </w:p>
    <w:p w14:paraId="4684493E" w14:textId="03D05AF4" w:rsidR="00A46ECA" w:rsidRDefault="00A46ECA" w:rsidP="008B0D14">
      <w:pPr>
        <w:widowControl w:val="0"/>
        <w:numPr>
          <w:ilvl w:val="0"/>
          <w:numId w:val="20"/>
        </w:numPr>
        <w:autoSpaceDE w:val="0"/>
        <w:autoSpaceDN w:val="0"/>
        <w:spacing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B3E004E" w14:textId="77777777" w:rsidR="00EF0338" w:rsidRDefault="00EF0338" w:rsidP="00EF0338">
      <w:pPr>
        <w:widowControl w:val="0"/>
        <w:autoSpaceDE w:val="0"/>
        <w:autoSpaceDN w:val="0"/>
        <w:spacing w:line="276" w:lineRule="auto"/>
        <w:ind w:right="120"/>
        <w:jc w:val="both"/>
        <w:rPr>
          <w:rFonts w:ascii="Arial Narrow" w:hAnsi="Arial Narrow"/>
        </w:rPr>
      </w:pPr>
    </w:p>
    <w:p w14:paraId="5BFAA8FD" w14:textId="77777777" w:rsidR="00A46ECA" w:rsidRDefault="00A46ECA" w:rsidP="008B0D14">
      <w:pPr>
        <w:widowControl w:val="0"/>
        <w:numPr>
          <w:ilvl w:val="0"/>
          <w:numId w:val="20"/>
        </w:numPr>
        <w:autoSpaceDE w:val="0"/>
        <w:autoSpaceDN w:val="0"/>
        <w:spacing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3A31C71B" w14:textId="77777777" w:rsidR="00A46ECA" w:rsidRDefault="00A46ECA" w:rsidP="008B0D14">
      <w:pPr>
        <w:spacing w:line="276" w:lineRule="auto"/>
        <w:ind w:left="1276" w:right="120"/>
        <w:jc w:val="both"/>
        <w:rPr>
          <w:rFonts w:ascii="Arial Narrow" w:hAnsi="Arial Narrow"/>
          <w:b/>
          <w:bCs/>
        </w:rPr>
      </w:pPr>
    </w:p>
    <w:p w14:paraId="22B01E71" w14:textId="77777777" w:rsidR="00A46ECA" w:rsidRDefault="00A46ECA" w:rsidP="008B0D14">
      <w:pPr>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Será configurada a inexecução total do objeto, quando:</w:t>
      </w:r>
    </w:p>
    <w:p w14:paraId="598CA167" w14:textId="276014C1" w:rsidR="00A46ECA" w:rsidRPr="008B0D14" w:rsidRDefault="00A46ECA" w:rsidP="008B0D14">
      <w:pPr>
        <w:widowControl w:val="0"/>
        <w:numPr>
          <w:ilvl w:val="0"/>
          <w:numId w:val="21"/>
        </w:numPr>
        <w:autoSpaceDE w:val="0"/>
        <w:autoSpaceDN w:val="0"/>
        <w:spacing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2C08E683" w14:textId="77777777" w:rsidR="008B0D14" w:rsidRDefault="008B0D14" w:rsidP="008B0D14">
      <w:pPr>
        <w:widowControl w:val="0"/>
        <w:autoSpaceDE w:val="0"/>
        <w:autoSpaceDN w:val="0"/>
        <w:spacing w:line="276" w:lineRule="auto"/>
        <w:ind w:left="1134" w:right="120"/>
        <w:jc w:val="both"/>
        <w:rPr>
          <w:rFonts w:ascii="Arial Narrow" w:hAnsi="Arial Narrow"/>
          <w:b/>
          <w:bCs/>
        </w:rPr>
      </w:pPr>
    </w:p>
    <w:p w14:paraId="0318C9C8" w14:textId="77777777" w:rsidR="00A46ECA" w:rsidRDefault="00A46ECA" w:rsidP="008B0D14">
      <w:pPr>
        <w:widowControl w:val="0"/>
        <w:numPr>
          <w:ilvl w:val="0"/>
          <w:numId w:val="21"/>
        </w:numPr>
        <w:autoSpaceDE w:val="0"/>
        <w:autoSpaceDN w:val="0"/>
        <w:spacing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6901BD91" w14:textId="77777777" w:rsidR="00A46ECA" w:rsidRDefault="00A46ECA" w:rsidP="008B0D14">
      <w:pPr>
        <w:spacing w:line="276" w:lineRule="auto"/>
        <w:ind w:left="1276" w:right="120"/>
        <w:jc w:val="both"/>
        <w:rPr>
          <w:rFonts w:ascii="Arial Narrow" w:hAnsi="Arial Narrow"/>
          <w:b/>
          <w:bCs/>
        </w:rPr>
      </w:pPr>
    </w:p>
    <w:p w14:paraId="02D26190" w14:textId="77777777" w:rsidR="00A46ECA" w:rsidRDefault="00A46ECA" w:rsidP="008B0D14">
      <w:pPr>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5BF57B6C" w14:textId="09B5FB40" w:rsidR="00A46ECA" w:rsidRDefault="00A46ECA" w:rsidP="008B0D14">
      <w:pPr>
        <w:widowControl w:val="0"/>
        <w:numPr>
          <w:ilvl w:val="0"/>
          <w:numId w:val="22"/>
        </w:numPr>
        <w:autoSpaceDE w:val="0"/>
        <w:autoSpaceDN w:val="0"/>
        <w:spacing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25747CE0" w14:textId="77777777" w:rsidR="008B0D14" w:rsidRDefault="008B0D14" w:rsidP="008B0D14">
      <w:pPr>
        <w:widowControl w:val="0"/>
        <w:autoSpaceDE w:val="0"/>
        <w:autoSpaceDN w:val="0"/>
        <w:spacing w:line="276" w:lineRule="auto"/>
        <w:ind w:left="1134" w:right="120"/>
        <w:jc w:val="both"/>
        <w:rPr>
          <w:rFonts w:ascii="Arial Narrow" w:hAnsi="Arial Narrow"/>
        </w:rPr>
      </w:pPr>
    </w:p>
    <w:p w14:paraId="738CBB38" w14:textId="77777777" w:rsidR="00A46ECA" w:rsidRDefault="00A46ECA" w:rsidP="008B0D14">
      <w:pPr>
        <w:widowControl w:val="0"/>
        <w:numPr>
          <w:ilvl w:val="0"/>
          <w:numId w:val="22"/>
        </w:numPr>
        <w:autoSpaceDE w:val="0"/>
        <w:autoSpaceDN w:val="0"/>
        <w:spacing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8F75424" w14:textId="77777777" w:rsidR="00A46ECA" w:rsidRDefault="00A46ECA" w:rsidP="008B0D14">
      <w:pPr>
        <w:spacing w:line="276" w:lineRule="auto"/>
        <w:ind w:left="1276" w:right="120"/>
        <w:jc w:val="both"/>
        <w:rPr>
          <w:rFonts w:ascii="Arial Narrow" w:hAnsi="Arial Narrow"/>
          <w:b/>
          <w:bCs/>
        </w:rPr>
      </w:pPr>
    </w:p>
    <w:p w14:paraId="4363F292"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6C5DB0DD" w14:textId="77777777" w:rsidR="00A46ECA" w:rsidRDefault="00A46ECA" w:rsidP="008B0D14">
      <w:pPr>
        <w:spacing w:line="276" w:lineRule="auto"/>
        <w:ind w:left="709" w:right="120" w:hanging="567"/>
        <w:jc w:val="both"/>
        <w:rPr>
          <w:rFonts w:ascii="Arial Narrow" w:hAnsi="Arial Narrow"/>
          <w:b/>
          <w:bCs/>
        </w:rPr>
      </w:pPr>
    </w:p>
    <w:p w14:paraId="615708B7"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2F64D30" w14:textId="77777777" w:rsidR="00A46ECA" w:rsidRDefault="00A46ECA" w:rsidP="008B0D14">
      <w:pPr>
        <w:pStyle w:val="Corpodetexto"/>
        <w:spacing w:line="276" w:lineRule="auto"/>
        <w:ind w:left="709"/>
        <w:rPr>
          <w:rFonts w:ascii="Arial Narrow" w:hAnsi="Arial Narrow"/>
          <w:b/>
          <w:bCs/>
        </w:rPr>
      </w:pPr>
    </w:p>
    <w:p w14:paraId="1DFC1C2E" w14:textId="77777777" w:rsidR="00A46ECA" w:rsidRDefault="00A46ECA" w:rsidP="008B0D14">
      <w:pPr>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BD1E035" w14:textId="77777777" w:rsidR="00A46ECA" w:rsidRDefault="00A46ECA" w:rsidP="008B0D14">
      <w:pPr>
        <w:spacing w:line="276" w:lineRule="auto"/>
        <w:ind w:left="709" w:right="120" w:hanging="426"/>
        <w:jc w:val="both"/>
        <w:rPr>
          <w:rFonts w:ascii="Arial Narrow" w:hAnsi="Arial Narrow"/>
          <w:b/>
          <w:bCs/>
        </w:rPr>
      </w:pPr>
    </w:p>
    <w:p w14:paraId="6D9346BD" w14:textId="77777777" w:rsidR="00A46ECA" w:rsidRDefault="00A46ECA" w:rsidP="008B0D14">
      <w:pPr>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460DB9AB" w14:textId="77777777" w:rsidR="00A46ECA" w:rsidRDefault="00A46ECA" w:rsidP="008B0D14">
      <w:pPr>
        <w:pStyle w:val="Corpodetexto"/>
        <w:spacing w:line="276" w:lineRule="auto"/>
        <w:ind w:left="709" w:hanging="426"/>
        <w:rPr>
          <w:rFonts w:ascii="Arial Narrow" w:hAnsi="Arial Narrow"/>
          <w:b/>
          <w:bCs/>
        </w:rPr>
      </w:pPr>
    </w:p>
    <w:p w14:paraId="1798BC73"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59824DC2" w14:textId="77777777" w:rsidR="00A46ECA" w:rsidRDefault="00A46ECA" w:rsidP="008B0D14">
      <w:pPr>
        <w:spacing w:line="276" w:lineRule="auto"/>
        <w:ind w:left="709" w:right="120" w:hanging="567"/>
        <w:jc w:val="both"/>
        <w:rPr>
          <w:rFonts w:ascii="Arial Narrow" w:hAnsi="Arial Narrow"/>
          <w:b/>
          <w:bCs/>
        </w:rPr>
      </w:pPr>
    </w:p>
    <w:p w14:paraId="76EDFE57"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3433AE8" w14:textId="77777777" w:rsidR="00A46ECA" w:rsidRDefault="00A46ECA" w:rsidP="008B0D14">
      <w:pPr>
        <w:pStyle w:val="Corpodetexto"/>
        <w:spacing w:line="276" w:lineRule="auto"/>
        <w:ind w:left="709"/>
        <w:rPr>
          <w:rFonts w:ascii="Arial Narrow" w:hAnsi="Arial Narrow"/>
          <w:b/>
          <w:bCs/>
        </w:rPr>
      </w:pPr>
    </w:p>
    <w:p w14:paraId="65378DF3" w14:textId="77777777" w:rsidR="00A46ECA" w:rsidRDefault="00A46ECA" w:rsidP="008B0D14">
      <w:pPr>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proofErr w:type="spellStart"/>
      <w:r>
        <w:rPr>
          <w:rFonts w:ascii="Arial Narrow" w:hAnsi="Arial Narrow"/>
        </w:rPr>
        <w:t>tritna</w:t>
      </w:r>
      <w:proofErr w:type="spellEnd"/>
      <w:r>
        <w:rPr>
          <w:rFonts w:ascii="Arial Narrow" w:hAnsi="Arial Narrow"/>
        </w:rPr>
        <w:t>) dias, a contar da data do recebimento da comunicação enviada pela autoridade competente.</w:t>
      </w:r>
    </w:p>
    <w:p w14:paraId="1F4DA1E9" w14:textId="77777777" w:rsidR="00A46ECA" w:rsidRDefault="00A46ECA" w:rsidP="008B0D14">
      <w:pPr>
        <w:pStyle w:val="Corpodetexto"/>
        <w:spacing w:line="276" w:lineRule="auto"/>
        <w:ind w:left="709" w:hanging="426"/>
        <w:rPr>
          <w:rFonts w:ascii="Arial Narrow" w:hAnsi="Arial Narrow"/>
          <w:b/>
          <w:bCs/>
        </w:rPr>
      </w:pPr>
    </w:p>
    <w:p w14:paraId="00491A13" w14:textId="77777777" w:rsidR="00A46ECA" w:rsidRDefault="00A46ECA" w:rsidP="008B0D14">
      <w:pPr>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F7A07BF" w14:textId="77777777" w:rsidR="00A46ECA" w:rsidRDefault="00A46ECA" w:rsidP="008B0D14">
      <w:pPr>
        <w:spacing w:line="276" w:lineRule="auto"/>
        <w:ind w:left="709" w:right="120" w:hanging="426"/>
        <w:jc w:val="both"/>
        <w:rPr>
          <w:rFonts w:ascii="Arial Narrow" w:hAnsi="Arial Narrow"/>
          <w:b/>
          <w:bCs/>
        </w:rPr>
      </w:pPr>
    </w:p>
    <w:p w14:paraId="5787F0BF" w14:textId="77777777" w:rsidR="00A46ECA" w:rsidRDefault="00A46ECA" w:rsidP="008B0D14">
      <w:pPr>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52BA6BD" w14:textId="2F3D4BD1" w:rsidR="00A46ECA" w:rsidRPr="008B0D14" w:rsidRDefault="00A46ECA" w:rsidP="008B0D14">
      <w:pPr>
        <w:widowControl w:val="0"/>
        <w:numPr>
          <w:ilvl w:val="0"/>
          <w:numId w:val="23"/>
        </w:numPr>
        <w:autoSpaceDE w:val="0"/>
        <w:autoSpaceDN w:val="0"/>
        <w:spacing w:line="276" w:lineRule="auto"/>
        <w:ind w:left="993" w:right="120" w:hanging="284"/>
        <w:jc w:val="both"/>
        <w:rPr>
          <w:rFonts w:ascii="Arial Narrow" w:hAnsi="Arial Narrow"/>
          <w:b/>
          <w:bCs/>
        </w:rPr>
      </w:pPr>
      <w:r>
        <w:rPr>
          <w:rFonts w:ascii="Arial Narrow" w:hAnsi="Arial Narrow"/>
        </w:rPr>
        <w:lastRenderedPageBreak/>
        <w:t>a natureza e a gravidade da infração cometida;</w:t>
      </w:r>
    </w:p>
    <w:p w14:paraId="5D9264EB" w14:textId="77777777" w:rsidR="008B0D14" w:rsidRDefault="008B0D14" w:rsidP="008B0D14">
      <w:pPr>
        <w:widowControl w:val="0"/>
        <w:autoSpaceDE w:val="0"/>
        <w:autoSpaceDN w:val="0"/>
        <w:spacing w:line="276" w:lineRule="auto"/>
        <w:ind w:left="993" w:right="120"/>
        <w:jc w:val="both"/>
        <w:rPr>
          <w:rFonts w:ascii="Arial Narrow" w:hAnsi="Arial Narrow"/>
          <w:b/>
          <w:bCs/>
        </w:rPr>
      </w:pPr>
    </w:p>
    <w:p w14:paraId="46A85410" w14:textId="3BBE019D" w:rsidR="00A46ECA" w:rsidRPr="008B0D14" w:rsidRDefault="00A46ECA" w:rsidP="008B0D14">
      <w:pPr>
        <w:widowControl w:val="0"/>
        <w:numPr>
          <w:ilvl w:val="0"/>
          <w:numId w:val="23"/>
        </w:numPr>
        <w:autoSpaceDE w:val="0"/>
        <w:autoSpaceDN w:val="0"/>
        <w:spacing w:line="276" w:lineRule="auto"/>
        <w:ind w:left="993" w:right="120" w:hanging="284"/>
        <w:jc w:val="both"/>
        <w:rPr>
          <w:rFonts w:ascii="Arial Narrow" w:hAnsi="Arial Narrow"/>
          <w:b/>
          <w:bCs/>
        </w:rPr>
      </w:pPr>
      <w:r>
        <w:rPr>
          <w:rFonts w:ascii="Arial Narrow" w:hAnsi="Arial Narrow"/>
        </w:rPr>
        <w:t>as peculiaridades do caso concreto;</w:t>
      </w:r>
    </w:p>
    <w:p w14:paraId="4A6059C1" w14:textId="77777777" w:rsidR="008B0D14" w:rsidRDefault="008B0D14" w:rsidP="008B0D14">
      <w:pPr>
        <w:pStyle w:val="PargrafodaLista"/>
        <w:rPr>
          <w:rFonts w:ascii="Arial Narrow" w:hAnsi="Arial Narrow"/>
          <w:b/>
          <w:bCs/>
        </w:rPr>
      </w:pPr>
    </w:p>
    <w:p w14:paraId="42ADB484" w14:textId="6D602957" w:rsidR="00A46ECA" w:rsidRPr="008B0D14" w:rsidRDefault="00A46ECA" w:rsidP="008B0D14">
      <w:pPr>
        <w:widowControl w:val="0"/>
        <w:numPr>
          <w:ilvl w:val="0"/>
          <w:numId w:val="23"/>
        </w:numPr>
        <w:autoSpaceDE w:val="0"/>
        <w:autoSpaceDN w:val="0"/>
        <w:spacing w:line="276" w:lineRule="auto"/>
        <w:ind w:left="993" w:right="120" w:hanging="284"/>
        <w:jc w:val="both"/>
        <w:rPr>
          <w:rFonts w:ascii="Arial Narrow" w:hAnsi="Arial Narrow"/>
          <w:b/>
          <w:bCs/>
        </w:rPr>
      </w:pPr>
      <w:r>
        <w:rPr>
          <w:rFonts w:ascii="Arial Narrow" w:hAnsi="Arial Narrow"/>
        </w:rPr>
        <w:t>as circunstâncias agravantes ou atenuantes;</w:t>
      </w:r>
    </w:p>
    <w:p w14:paraId="1D1ED27D" w14:textId="77777777" w:rsidR="008B0D14" w:rsidRDefault="008B0D14" w:rsidP="008B0D14">
      <w:pPr>
        <w:widowControl w:val="0"/>
        <w:autoSpaceDE w:val="0"/>
        <w:autoSpaceDN w:val="0"/>
        <w:spacing w:line="276" w:lineRule="auto"/>
        <w:ind w:right="120"/>
        <w:jc w:val="both"/>
        <w:rPr>
          <w:rFonts w:ascii="Arial Narrow" w:hAnsi="Arial Narrow"/>
          <w:b/>
          <w:bCs/>
        </w:rPr>
      </w:pPr>
    </w:p>
    <w:p w14:paraId="1CF30977" w14:textId="6CE86599" w:rsidR="00A46ECA" w:rsidRPr="008B0D14" w:rsidRDefault="00A46ECA" w:rsidP="008B0D14">
      <w:pPr>
        <w:widowControl w:val="0"/>
        <w:numPr>
          <w:ilvl w:val="0"/>
          <w:numId w:val="23"/>
        </w:numPr>
        <w:autoSpaceDE w:val="0"/>
        <w:autoSpaceDN w:val="0"/>
        <w:spacing w:line="276" w:lineRule="auto"/>
        <w:ind w:left="993" w:right="120" w:hanging="284"/>
        <w:jc w:val="both"/>
        <w:rPr>
          <w:rFonts w:ascii="Arial Narrow" w:hAnsi="Arial Narrow"/>
          <w:b/>
          <w:bCs/>
        </w:rPr>
      </w:pPr>
      <w:r>
        <w:rPr>
          <w:rFonts w:ascii="Arial Narrow" w:hAnsi="Arial Narrow"/>
        </w:rPr>
        <w:t>os danos que dela provierem para o Contratante;</w:t>
      </w:r>
    </w:p>
    <w:p w14:paraId="2A8E9AE4" w14:textId="77777777" w:rsidR="008B0D14" w:rsidRDefault="008B0D14" w:rsidP="008B0D14">
      <w:pPr>
        <w:widowControl w:val="0"/>
        <w:autoSpaceDE w:val="0"/>
        <w:autoSpaceDN w:val="0"/>
        <w:spacing w:line="276" w:lineRule="auto"/>
        <w:ind w:right="120"/>
        <w:jc w:val="both"/>
        <w:rPr>
          <w:rFonts w:ascii="Arial Narrow" w:hAnsi="Arial Narrow"/>
          <w:b/>
          <w:bCs/>
        </w:rPr>
      </w:pPr>
    </w:p>
    <w:p w14:paraId="32BEE815" w14:textId="77777777" w:rsidR="00A46ECA" w:rsidRDefault="00A46ECA" w:rsidP="008B0D14">
      <w:pPr>
        <w:widowControl w:val="0"/>
        <w:numPr>
          <w:ilvl w:val="0"/>
          <w:numId w:val="23"/>
        </w:numPr>
        <w:autoSpaceDE w:val="0"/>
        <w:autoSpaceDN w:val="0"/>
        <w:spacing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0DA3CE7" w14:textId="77777777" w:rsidR="00A46ECA" w:rsidRDefault="00A46ECA" w:rsidP="008B0D14">
      <w:pPr>
        <w:spacing w:line="276" w:lineRule="auto"/>
        <w:ind w:left="709" w:right="120"/>
        <w:jc w:val="both"/>
        <w:rPr>
          <w:rFonts w:ascii="Arial Narrow" w:hAnsi="Arial Narrow"/>
          <w:b/>
          <w:bCs/>
        </w:rPr>
      </w:pPr>
    </w:p>
    <w:p w14:paraId="2F5F4A80" w14:textId="77777777" w:rsidR="00A46ECA" w:rsidRDefault="00A46ECA" w:rsidP="008B0D14">
      <w:pPr>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5B9EF82" w14:textId="77777777" w:rsidR="00A46ECA" w:rsidRDefault="00A46ECA" w:rsidP="008B0D14">
      <w:pPr>
        <w:spacing w:line="276" w:lineRule="auto"/>
        <w:ind w:left="709" w:right="120" w:hanging="426"/>
        <w:jc w:val="both"/>
        <w:rPr>
          <w:rFonts w:ascii="Arial Narrow" w:hAnsi="Arial Narrow"/>
          <w:b/>
          <w:bCs/>
        </w:rPr>
      </w:pPr>
    </w:p>
    <w:p w14:paraId="7926345A"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9B350B6" w14:textId="77777777" w:rsidR="00A46ECA" w:rsidRDefault="00A46ECA" w:rsidP="008B0D14">
      <w:pPr>
        <w:pStyle w:val="Corpodetexto"/>
        <w:spacing w:line="276" w:lineRule="auto"/>
        <w:ind w:left="709"/>
        <w:rPr>
          <w:rFonts w:ascii="Arial Narrow" w:hAnsi="Arial Narrow"/>
          <w:b/>
          <w:bCs/>
        </w:rPr>
      </w:pPr>
    </w:p>
    <w:p w14:paraId="7F2C453B"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068F6F2" w14:textId="77777777" w:rsidR="00A46ECA" w:rsidRDefault="00A46ECA" w:rsidP="008B0D14">
      <w:pPr>
        <w:pStyle w:val="Corpodetexto"/>
        <w:spacing w:line="276" w:lineRule="auto"/>
        <w:ind w:left="709"/>
        <w:rPr>
          <w:rFonts w:ascii="Arial Narrow" w:hAnsi="Arial Narrow"/>
          <w:b/>
          <w:bCs/>
        </w:rPr>
      </w:pPr>
    </w:p>
    <w:p w14:paraId="35D68E56"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031F4CB7" w14:textId="77777777" w:rsidR="00A46ECA" w:rsidRDefault="00A46ECA" w:rsidP="008B0D14">
      <w:pPr>
        <w:pStyle w:val="Corpodetexto"/>
        <w:spacing w:line="276" w:lineRule="auto"/>
        <w:ind w:left="709"/>
        <w:rPr>
          <w:rFonts w:ascii="Arial Narrow" w:hAnsi="Arial Narrow"/>
          <w:b/>
          <w:bCs/>
        </w:rPr>
      </w:pPr>
    </w:p>
    <w:p w14:paraId="62CEC94B" w14:textId="77777777" w:rsidR="00A46ECA" w:rsidRDefault="00A46ECA" w:rsidP="008B0D14">
      <w:pPr>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20D20A9" w14:textId="77777777" w:rsidR="00A46ECA" w:rsidRDefault="00A46ECA" w:rsidP="008B0D14">
      <w:pPr>
        <w:pStyle w:val="Corpodetexto"/>
        <w:spacing w:line="276" w:lineRule="auto"/>
        <w:ind w:left="709"/>
        <w:rPr>
          <w:rFonts w:ascii="Arial Narrow" w:hAnsi="Arial Narrow"/>
          <w:b/>
          <w:bCs/>
        </w:rPr>
      </w:pPr>
    </w:p>
    <w:p w14:paraId="3CAAB8C7"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DA PUBLICAÇÃO</w:t>
      </w:r>
    </w:p>
    <w:p w14:paraId="7C7F8BC5" w14:textId="77777777" w:rsidR="00A46ECA" w:rsidRDefault="00A46ECA" w:rsidP="008B0D14">
      <w:pPr>
        <w:spacing w:line="276" w:lineRule="auto"/>
        <w:ind w:left="567" w:right="120" w:hanging="425"/>
        <w:jc w:val="both"/>
        <w:rPr>
          <w:rFonts w:ascii="Arial Narrow" w:hAnsi="Arial Narrow"/>
          <w:b/>
          <w:bCs/>
        </w:rPr>
      </w:pPr>
    </w:p>
    <w:p w14:paraId="442210D5"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69EC966A" w14:textId="3D54A471" w:rsidR="00A46ECA" w:rsidRDefault="00A46ECA" w:rsidP="008B0D14">
      <w:pPr>
        <w:spacing w:line="276" w:lineRule="auto"/>
        <w:ind w:left="567" w:right="120" w:hanging="425"/>
        <w:jc w:val="both"/>
        <w:rPr>
          <w:rFonts w:ascii="Arial Narrow" w:hAnsi="Arial Narrow"/>
          <w:b/>
          <w:bCs/>
        </w:rPr>
      </w:pPr>
    </w:p>
    <w:p w14:paraId="73356AD3" w14:textId="77777777" w:rsidR="00A46ECA" w:rsidRDefault="00A46ECA" w:rsidP="008B0D14">
      <w:pPr>
        <w:spacing w:line="276" w:lineRule="auto"/>
        <w:ind w:left="567" w:right="120" w:hanging="425"/>
        <w:jc w:val="both"/>
        <w:rPr>
          <w:rFonts w:ascii="Arial Narrow" w:hAnsi="Arial Narrow"/>
          <w:b/>
          <w:bCs/>
        </w:rPr>
      </w:pPr>
    </w:p>
    <w:p w14:paraId="345354F3"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DOS CASOS OMISSOS E CONDIÇÕES GERAIS</w:t>
      </w:r>
    </w:p>
    <w:p w14:paraId="7BEEAC17" w14:textId="77777777" w:rsidR="00A46ECA" w:rsidRDefault="00A46ECA" w:rsidP="008B0D14">
      <w:pPr>
        <w:spacing w:line="276" w:lineRule="auto"/>
        <w:ind w:left="567" w:right="120" w:hanging="425"/>
        <w:jc w:val="both"/>
        <w:rPr>
          <w:rFonts w:ascii="Arial Narrow" w:hAnsi="Arial Narrow"/>
          <w:b/>
          <w:bCs/>
        </w:rPr>
      </w:pPr>
    </w:p>
    <w:p w14:paraId="0E4CE8F1"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 xml:space="preserve">Os casos omissos serão resolvidos com base na Lei n.º 14.133, de 1º de abril de 2021, cujas normas ficam </w:t>
      </w:r>
      <w:r>
        <w:rPr>
          <w:rFonts w:ascii="Arial Narrow" w:hAnsi="Arial Narrow"/>
        </w:rPr>
        <w:lastRenderedPageBreak/>
        <w:t>incorporadas integralmente neste instrumento, ainda que delas não se faça menção expressa, e ainda, os preceitos gerais do direito público, os princípios da teoria geral dos contratos e as disposições de direito privado.</w:t>
      </w:r>
    </w:p>
    <w:p w14:paraId="37911F52" w14:textId="77777777" w:rsidR="00A46ECA" w:rsidRDefault="00A46ECA" w:rsidP="008B0D14">
      <w:pPr>
        <w:spacing w:line="276" w:lineRule="auto"/>
        <w:ind w:left="567" w:right="120" w:hanging="425"/>
        <w:jc w:val="both"/>
        <w:rPr>
          <w:rFonts w:ascii="Arial Narrow" w:hAnsi="Arial Narrow"/>
          <w:b/>
          <w:bCs/>
        </w:rPr>
      </w:pPr>
    </w:p>
    <w:p w14:paraId="556B685A" w14:textId="636F068E" w:rsidR="00A46ECA" w:rsidRPr="008B0D14"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55B5E43" w14:textId="77777777" w:rsidR="008B0D14" w:rsidRDefault="008B0D14" w:rsidP="008B0D14">
      <w:pPr>
        <w:widowControl w:val="0"/>
        <w:autoSpaceDE w:val="0"/>
        <w:autoSpaceDN w:val="0"/>
        <w:spacing w:line="276" w:lineRule="auto"/>
        <w:ind w:right="120"/>
        <w:jc w:val="both"/>
        <w:rPr>
          <w:rFonts w:ascii="Arial Narrow" w:hAnsi="Arial Narrow"/>
          <w:b/>
          <w:bCs/>
        </w:rPr>
      </w:pPr>
    </w:p>
    <w:p w14:paraId="148F1D30"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515F81C5" w14:textId="1521FB48" w:rsidR="00A46ECA" w:rsidRDefault="00A46ECA" w:rsidP="008B0D14">
      <w:pPr>
        <w:pStyle w:val="Corpodetexto"/>
        <w:spacing w:line="276" w:lineRule="auto"/>
        <w:ind w:left="567" w:hanging="425"/>
        <w:rPr>
          <w:rFonts w:ascii="Arial Narrow" w:hAnsi="Arial Narrow"/>
          <w:b/>
          <w:bCs/>
        </w:rPr>
      </w:pPr>
    </w:p>
    <w:p w14:paraId="58023968" w14:textId="77777777" w:rsidR="00A46ECA" w:rsidRDefault="00A46ECA" w:rsidP="008B0D14">
      <w:pPr>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 FORO</w:t>
      </w:r>
    </w:p>
    <w:p w14:paraId="686138A0" w14:textId="77777777" w:rsidR="00A46ECA" w:rsidRDefault="00A46ECA" w:rsidP="008B0D14">
      <w:pPr>
        <w:spacing w:line="276" w:lineRule="auto"/>
        <w:ind w:left="567" w:right="120" w:hanging="425"/>
        <w:jc w:val="both"/>
        <w:rPr>
          <w:rFonts w:ascii="Arial Narrow" w:hAnsi="Arial Narrow"/>
          <w:b/>
          <w:bCs/>
        </w:rPr>
      </w:pPr>
    </w:p>
    <w:p w14:paraId="74C636E7"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73352185" w14:textId="77777777" w:rsidR="00A46ECA" w:rsidRDefault="00A46ECA" w:rsidP="008B0D14">
      <w:pPr>
        <w:spacing w:line="276" w:lineRule="auto"/>
        <w:ind w:left="567" w:right="120"/>
        <w:jc w:val="both"/>
        <w:rPr>
          <w:rFonts w:ascii="Arial Narrow" w:hAnsi="Arial Narrow"/>
          <w:b/>
          <w:bCs/>
        </w:rPr>
      </w:pPr>
    </w:p>
    <w:p w14:paraId="5853D0D8" w14:textId="77777777" w:rsidR="00A46ECA" w:rsidRDefault="00A46ECA" w:rsidP="008B0D14">
      <w:pPr>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D8F46BA" w:rsidR="00261BED" w:rsidRDefault="00261BED" w:rsidP="008B0D14">
      <w:pPr>
        <w:spacing w:line="276" w:lineRule="auto"/>
      </w:pPr>
    </w:p>
    <w:p w14:paraId="4C9908C3" w14:textId="77777777" w:rsidR="00A46ECA" w:rsidRDefault="00A46ECA" w:rsidP="008B0D14">
      <w:pPr>
        <w:spacing w:line="276" w:lineRule="auto"/>
      </w:pPr>
    </w:p>
    <w:p w14:paraId="07ABDABD" w14:textId="462ED431" w:rsidR="00A46ECA" w:rsidRDefault="00A46ECA" w:rsidP="008B0D14">
      <w:pPr>
        <w:spacing w:line="276" w:lineRule="auto"/>
        <w:jc w:val="center"/>
        <w:rPr>
          <w:rFonts w:ascii="Arial Narrow" w:hAnsi="Arial Narrow"/>
        </w:rPr>
      </w:pPr>
      <w:r>
        <w:rPr>
          <w:rFonts w:ascii="Arial Narrow" w:hAnsi="Arial Narrow"/>
        </w:rPr>
        <w:t xml:space="preserve">Água Doce, SC, </w:t>
      </w:r>
      <w:r>
        <w:rPr>
          <w:rFonts w:ascii="Arial Narrow" w:hAnsi="Arial Narrow"/>
        </w:rPr>
        <w:t>21</w:t>
      </w:r>
      <w:r>
        <w:rPr>
          <w:rFonts w:ascii="Arial Narrow" w:hAnsi="Arial Narrow"/>
        </w:rPr>
        <w:t xml:space="preserve"> de fevereiro de 2025</w:t>
      </w:r>
    </w:p>
    <w:p w14:paraId="66F33762" w14:textId="77777777" w:rsidR="00A46ECA" w:rsidRDefault="00A46ECA" w:rsidP="008B0D14">
      <w:pPr>
        <w:spacing w:line="276" w:lineRule="auto"/>
        <w:jc w:val="both"/>
        <w:rPr>
          <w:rFonts w:ascii="Arial Narrow" w:hAnsi="Arial Narrow"/>
        </w:rPr>
      </w:pPr>
    </w:p>
    <w:p w14:paraId="1BA0A9AF" w14:textId="77777777" w:rsidR="00A46ECA" w:rsidRDefault="00A46ECA" w:rsidP="008B0D14">
      <w:pPr>
        <w:spacing w:line="276" w:lineRule="auto"/>
        <w:jc w:val="both"/>
        <w:rPr>
          <w:rFonts w:ascii="Arial Narrow" w:hAnsi="Arial Narrow"/>
        </w:rPr>
      </w:pPr>
    </w:p>
    <w:p w14:paraId="7D9A5472" w14:textId="77777777" w:rsidR="00A46ECA" w:rsidRDefault="00A46ECA" w:rsidP="008B0D14">
      <w:pPr>
        <w:spacing w:line="276" w:lineRule="auto"/>
        <w:jc w:val="both"/>
        <w:rPr>
          <w:rFonts w:ascii="Arial Narrow" w:hAnsi="Arial Narrow"/>
        </w:rPr>
      </w:pPr>
    </w:p>
    <w:p w14:paraId="24A68A42" w14:textId="77777777" w:rsidR="00A46ECA" w:rsidRDefault="00A46ECA" w:rsidP="008B0D14">
      <w:pPr>
        <w:spacing w:line="276" w:lineRule="auto"/>
        <w:jc w:val="both"/>
        <w:rPr>
          <w:rFonts w:ascii="Arial Narrow" w:hAnsi="Arial Narrow"/>
        </w:rPr>
      </w:pPr>
    </w:p>
    <w:p w14:paraId="2412CEBC" w14:textId="77777777" w:rsidR="00A46ECA" w:rsidRDefault="00A46ECA" w:rsidP="008B0D14">
      <w:pPr>
        <w:spacing w:line="276" w:lineRule="auto"/>
        <w:jc w:val="both"/>
        <w:rPr>
          <w:rFonts w:ascii="Arial Narrow" w:hAnsi="Arial Narrow"/>
        </w:rPr>
      </w:pPr>
    </w:p>
    <w:p w14:paraId="0091C417" w14:textId="77777777" w:rsidR="00A46ECA" w:rsidRDefault="00A46ECA" w:rsidP="008B0D14">
      <w:pPr>
        <w:spacing w:line="276" w:lineRule="auto"/>
        <w:jc w:val="both"/>
        <w:rPr>
          <w:rFonts w:ascii="Arial Narrow" w:hAnsi="Arial Narrow"/>
        </w:rPr>
      </w:pPr>
    </w:p>
    <w:p w14:paraId="731C45E6" w14:textId="77777777" w:rsidR="00A46ECA" w:rsidRDefault="00A46ECA" w:rsidP="008B0D14">
      <w:pPr>
        <w:spacing w:line="276" w:lineRule="auto"/>
        <w:jc w:val="both"/>
        <w:rPr>
          <w:rFonts w:ascii="Arial Narrow" w:hAnsi="Arial Narrow"/>
        </w:rPr>
      </w:pPr>
    </w:p>
    <w:tbl>
      <w:tblPr>
        <w:tblW w:w="0" w:type="auto"/>
        <w:tblLook w:val="04A0" w:firstRow="1" w:lastRow="0" w:firstColumn="1" w:lastColumn="0" w:noHBand="0" w:noVBand="1"/>
      </w:tblPr>
      <w:tblGrid>
        <w:gridCol w:w="4537"/>
        <w:gridCol w:w="4534"/>
      </w:tblGrid>
      <w:tr w:rsidR="00A46ECA" w14:paraId="56E7BAE8" w14:textId="77777777" w:rsidTr="00A46ECA">
        <w:tc>
          <w:tcPr>
            <w:tcW w:w="4605" w:type="dxa"/>
            <w:vAlign w:val="center"/>
            <w:hideMark/>
          </w:tcPr>
          <w:p w14:paraId="1EB27474" w14:textId="77777777" w:rsidR="00A46ECA" w:rsidRDefault="00A46ECA" w:rsidP="008B0D14">
            <w:pPr>
              <w:spacing w:line="276" w:lineRule="auto"/>
              <w:jc w:val="center"/>
              <w:rPr>
                <w:rFonts w:ascii="Arial Narrow" w:hAnsi="Arial Narrow"/>
              </w:rPr>
            </w:pPr>
            <w:r>
              <w:rPr>
                <w:rFonts w:ascii="Arial Narrow" w:hAnsi="Arial Narrow" w:cs="Arial"/>
                <w:b/>
              </w:rPr>
              <w:t>GIOVANI LUIZ BRANDALISE</w:t>
            </w:r>
          </w:p>
        </w:tc>
        <w:tc>
          <w:tcPr>
            <w:tcW w:w="4606" w:type="dxa"/>
            <w:vAlign w:val="center"/>
          </w:tcPr>
          <w:p w14:paraId="3F2A5ABC" w14:textId="5391D51D" w:rsidR="00A46ECA" w:rsidRDefault="008B0D14" w:rsidP="008B0D14">
            <w:pPr>
              <w:spacing w:line="276" w:lineRule="auto"/>
              <w:jc w:val="center"/>
              <w:rPr>
                <w:rFonts w:ascii="Arial Narrow" w:hAnsi="Arial Narrow"/>
                <w:b/>
                <w:bCs/>
              </w:rPr>
            </w:pPr>
            <w:r w:rsidRPr="008B0D14">
              <w:rPr>
                <w:rFonts w:ascii="Arial Narrow" w:hAnsi="Arial Narrow"/>
                <w:b/>
                <w:bCs/>
              </w:rPr>
              <w:t>RAFAEL MENDES DE CARVALHO</w:t>
            </w:r>
          </w:p>
        </w:tc>
      </w:tr>
      <w:tr w:rsidR="00A46ECA" w14:paraId="736FC3C9" w14:textId="77777777" w:rsidTr="00A46ECA">
        <w:tc>
          <w:tcPr>
            <w:tcW w:w="4605" w:type="dxa"/>
            <w:vAlign w:val="center"/>
            <w:hideMark/>
          </w:tcPr>
          <w:p w14:paraId="12FA439B" w14:textId="77777777" w:rsidR="00A46ECA" w:rsidRDefault="00A46ECA" w:rsidP="008B0D14">
            <w:pPr>
              <w:spacing w:line="276" w:lineRule="auto"/>
              <w:jc w:val="center"/>
              <w:rPr>
                <w:rFonts w:ascii="Arial Narrow" w:hAnsi="Arial Narrow"/>
              </w:rPr>
            </w:pPr>
            <w:r>
              <w:rPr>
                <w:rFonts w:ascii="Arial Narrow" w:hAnsi="Arial Narrow" w:cs="Arial"/>
                <w:sz w:val="18"/>
              </w:rPr>
              <w:t>Prefeito Municipal</w:t>
            </w:r>
          </w:p>
        </w:tc>
        <w:tc>
          <w:tcPr>
            <w:tcW w:w="4606" w:type="dxa"/>
            <w:vAlign w:val="center"/>
          </w:tcPr>
          <w:p w14:paraId="26004550" w14:textId="65885F09" w:rsidR="00A46ECA" w:rsidRDefault="008B0D14" w:rsidP="008B0D14">
            <w:pPr>
              <w:spacing w:line="276" w:lineRule="auto"/>
              <w:jc w:val="center"/>
              <w:rPr>
                <w:rFonts w:ascii="Arial Narrow" w:hAnsi="Arial Narrow"/>
                <w:sz w:val="18"/>
                <w:szCs w:val="18"/>
              </w:rPr>
            </w:pPr>
            <w:proofErr w:type="spellStart"/>
            <w:r w:rsidRPr="008B0D14">
              <w:rPr>
                <w:rFonts w:ascii="Arial Narrow" w:hAnsi="Arial Narrow"/>
                <w:sz w:val="18"/>
                <w:szCs w:val="18"/>
              </w:rPr>
              <w:t>Globalsec</w:t>
            </w:r>
            <w:proofErr w:type="spellEnd"/>
            <w:r w:rsidRPr="008B0D14">
              <w:rPr>
                <w:rFonts w:ascii="Arial Narrow" w:hAnsi="Arial Narrow"/>
                <w:sz w:val="18"/>
                <w:szCs w:val="18"/>
              </w:rPr>
              <w:t xml:space="preserve"> Tecnologia Da Informação Ltda</w:t>
            </w:r>
          </w:p>
        </w:tc>
      </w:tr>
      <w:tr w:rsidR="00A46ECA" w14:paraId="463F3961" w14:textId="77777777" w:rsidTr="00A46ECA">
        <w:tc>
          <w:tcPr>
            <w:tcW w:w="4605" w:type="dxa"/>
            <w:vAlign w:val="center"/>
            <w:hideMark/>
          </w:tcPr>
          <w:p w14:paraId="21B6D8ED" w14:textId="77777777" w:rsidR="00A46ECA" w:rsidRDefault="00A46ECA" w:rsidP="008B0D14">
            <w:pPr>
              <w:spacing w:line="276" w:lineRule="auto"/>
              <w:jc w:val="center"/>
              <w:rPr>
                <w:rFonts w:ascii="Arial Narrow" w:hAnsi="Arial Narrow"/>
              </w:rPr>
            </w:pPr>
            <w:r>
              <w:rPr>
                <w:rFonts w:ascii="Arial Narrow" w:hAnsi="Arial Narrow"/>
                <w:bCs/>
                <w:sz w:val="18"/>
              </w:rPr>
              <w:t>Contratante</w:t>
            </w:r>
          </w:p>
        </w:tc>
        <w:tc>
          <w:tcPr>
            <w:tcW w:w="4606" w:type="dxa"/>
            <w:vAlign w:val="center"/>
          </w:tcPr>
          <w:p w14:paraId="7EACCCF1" w14:textId="1C255E84" w:rsidR="00A46ECA" w:rsidRDefault="008B0D14" w:rsidP="008B0D14">
            <w:pPr>
              <w:spacing w:line="276" w:lineRule="auto"/>
              <w:jc w:val="center"/>
              <w:rPr>
                <w:rFonts w:ascii="Arial Narrow" w:hAnsi="Arial Narrow"/>
                <w:sz w:val="18"/>
                <w:szCs w:val="18"/>
              </w:rPr>
            </w:pPr>
            <w:r>
              <w:rPr>
                <w:rFonts w:ascii="Arial Narrow" w:hAnsi="Arial Narrow"/>
                <w:sz w:val="18"/>
                <w:szCs w:val="18"/>
              </w:rPr>
              <w:t>Contratada</w:t>
            </w:r>
          </w:p>
        </w:tc>
      </w:tr>
    </w:tbl>
    <w:p w14:paraId="02891396" w14:textId="77777777" w:rsidR="00A46ECA" w:rsidRDefault="00A46ECA" w:rsidP="008B0D14">
      <w:pPr>
        <w:spacing w:line="276" w:lineRule="auto"/>
        <w:jc w:val="both"/>
        <w:rPr>
          <w:rFonts w:ascii="Arial Narrow" w:hAnsi="Arial Narrow"/>
        </w:rPr>
      </w:pPr>
    </w:p>
    <w:p w14:paraId="5FC110B2" w14:textId="77777777" w:rsidR="00A46ECA" w:rsidRDefault="00A46ECA" w:rsidP="008B0D14">
      <w:pPr>
        <w:spacing w:line="276" w:lineRule="auto"/>
        <w:jc w:val="both"/>
        <w:rPr>
          <w:rFonts w:ascii="Arial Narrow" w:hAnsi="Arial Narrow"/>
        </w:rPr>
      </w:pPr>
    </w:p>
    <w:p w14:paraId="0CAA6725" w14:textId="77777777" w:rsidR="00A46ECA" w:rsidRDefault="00A46ECA" w:rsidP="008B0D14">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00439ED5" w14:textId="77777777" w:rsidR="00A46ECA" w:rsidRDefault="00A46ECA" w:rsidP="008B0D14">
      <w:pPr>
        <w:spacing w:line="276" w:lineRule="auto"/>
        <w:rPr>
          <w:rFonts w:ascii="Arial Narrow" w:hAnsi="Arial Narrow"/>
          <w:color w:val="FF0000"/>
        </w:rPr>
      </w:pPr>
    </w:p>
    <w:p w14:paraId="3D31012F" w14:textId="77777777" w:rsidR="00A46ECA" w:rsidRDefault="00A46ECA" w:rsidP="008B0D14">
      <w:pPr>
        <w:spacing w:line="276" w:lineRule="auto"/>
        <w:jc w:val="both"/>
        <w:rPr>
          <w:rFonts w:ascii="Arial Narrow" w:hAnsi="Arial Narrow"/>
          <w:color w:val="FF0000"/>
          <w:szCs w:val="16"/>
        </w:rPr>
      </w:pPr>
    </w:p>
    <w:p w14:paraId="5CD1D591" w14:textId="77777777" w:rsidR="00A46ECA" w:rsidRDefault="00A46ECA" w:rsidP="008B0D14">
      <w:pPr>
        <w:spacing w:line="276" w:lineRule="auto"/>
        <w:jc w:val="both"/>
        <w:rPr>
          <w:rFonts w:ascii="Arial Narrow" w:hAnsi="Arial Narrow"/>
          <w:color w:val="FF0000"/>
          <w:szCs w:val="16"/>
        </w:rPr>
      </w:pPr>
    </w:p>
    <w:p w14:paraId="78FAF91C" w14:textId="77777777" w:rsidR="00A46ECA" w:rsidRDefault="00A46ECA" w:rsidP="008B0D14">
      <w:pPr>
        <w:spacing w:line="276" w:lineRule="auto"/>
        <w:jc w:val="both"/>
        <w:rPr>
          <w:rFonts w:ascii="Arial Narrow" w:hAnsi="Arial Narrow"/>
          <w:color w:val="FF0000"/>
          <w:szCs w:val="16"/>
        </w:rPr>
      </w:pPr>
    </w:p>
    <w:p w14:paraId="4F33946B" w14:textId="77777777" w:rsidR="00A46ECA" w:rsidRDefault="00A46ECA" w:rsidP="008B0D14">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8D1A06B" w14:textId="77777777" w:rsidR="00A46ECA" w:rsidRDefault="00A46ECA" w:rsidP="008B0D14">
      <w:pPr>
        <w:autoSpaceDE w:val="0"/>
        <w:autoSpaceDN w:val="0"/>
        <w:adjustRightInd w:val="0"/>
        <w:spacing w:line="276" w:lineRule="auto"/>
        <w:jc w:val="center"/>
        <w:rPr>
          <w:rFonts w:ascii="Arial Narrow" w:hAnsi="Arial Narrow" w:cs="Arial"/>
          <w:b/>
        </w:rPr>
      </w:pPr>
      <w:r>
        <w:rPr>
          <w:rFonts w:ascii="Arial Narrow" w:hAnsi="Arial Narrow" w:cs="Arial"/>
          <w:b/>
        </w:rPr>
        <w:t>JULIANE PEROTONI</w:t>
      </w:r>
    </w:p>
    <w:p w14:paraId="6D03F0A6" w14:textId="77777777" w:rsidR="00A46ECA" w:rsidRDefault="00A46ECA" w:rsidP="008B0D14">
      <w:pPr>
        <w:autoSpaceDE w:val="0"/>
        <w:autoSpaceDN w:val="0"/>
        <w:adjustRightInd w:val="0"/>
        <w:spacing w:line="276" w:lineRule="auto"/>
        <w:jc w:val="center"/>
      </w:pPr>
      <w:r>
        <w:rPr>
          <w:rFonts w:ascii="Arial Narrow" w:hAnsi="Arial Narrow" w:cs="Arial"/>
        </w:rPr>
        <w:t>OAB/SC 33.765</w:t>
      </w:r>
    </w:p>
    <w:p w14:paraId="38508372" w14:textId="77777777" w:rsidR="00A46ECA" w:rsidRPr="00A96927" w:rsidRDefault="00A46ECA" w:rsidP="008B0D14">
      <w:pPr>
        <w:spacing w:line="276" w:lineRule="auto"/>
      </w:pPr>
    </w:p>
    <w:sectPr w:rsidR="00A46ECA"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33236"/>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B0D14"/>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46ECA"/>
    <w:rsid w:val="00A650A2"/>
    <w:rsid w:val="00A843D3"/>
    <w:rsid w:val="00A952F4"/>
    <w:rsid w:val="00A96927"/>
    <w:rsid w:val="00AB5A0D"/>
    <w:rsid w:val="00AF09C6"/>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EF0338"/>
    <w:rsid w:val="00F81BB3"/>
    <w:rsid w:val="00FA3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A46ECA"/>
    <w:rPr>
      <w:rFonts w:ascii="Arial MT" w:eastAsia="Arial MT" w:hAnsi="Arial MT" w:cs="Arial MT"/>
      <w:lang w:val="pt-PT"/>
    </w:rPr>
  </w:style>
  <w:style w:type="paragraph" w:styleId="PargrafodaLista">
    <w:name w:val="List Paragraph"/>
    <w:basedOn w:val="Normal"/>
    <w:link w:val="PargrafodaListaChar"/>
    <w:uiPriority w:val="34"/>
    <w:qFormat/>
    <w:rsid w:val="00A46ECA"/>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5993">
      <w:bodyDiv w:val="1"/>
      <w:marLeft w:val="0"/>
      <w:marRight w:val="0"/>
      <w:marTop w:val="0"/>
      <w:marBottom w:val="0"/>
      <w:divBdr>
        <w:top w:val="none" w:sz="0" w:space="0" w:color="auto"/>
        <w:left w:val="none" w:sz="0" w:space="0" w:color="auto"/>
        <w:bottom w:val="none" w:sz="0" w:space="0" w:color="auto"/>
        <w:right w:val="none" w:sz="0" w:space="0" w:color="auto"/>
      </w:divBdr>
    </w:div>
    <w:div w:id="688407701">
      <w:bodyDiv w:val="1"/>
      <w:marLeft w:val="0"/>
      <w:marRight w:val="0"/>
      <w:marTop w:val="0"/>
      <w:marBottom w:val="0"/>
      <w:divBdr>
        <w:top w:val="none" w:sz="0" w:space="0" w:color="auto"/>
        <w:left w:val="none" w:sz="0" w:space="0" w:color="auto"/>
        <w:bottom w:val="none" w:sz="0" w:space="0" w:color="auto"/>
        <w:right w:val="none" w:sz="0" w:space="0" w:color="auto"/>
      </w:divBdr>
    </w:div>
    <w:div w:id="746390399">
      <w:bodyDiv w:val="1"/>
      <w:marLeft w:val="0"/>
      <w:marRight w:val="0"/>
      <w:marTop w:val="0"/>
      <w:marBottom w:val="0"/>
      <w:divBdr>
        <w:top w:val="none" w:sz="0" w:space="0" w:color="auto"/>
        <w:left w:val="none" w:sz="0" w:space="0" w:color="auto"/>
        <w:bottom w:val="none" w:sz="0" w:space="0" w:color="auto"/>
        <w:right w:val="none" w:sz="0" w:space="0" w:color="auto"/>
      </w:divBdr>
    </w:div>
    <w:div w:id="1271624340">
      <w:bodyDiv w:val="1"/>
      <w:marLeft w:val="0"/>
      <w:marRight w:val="0"/>
      <w:marTop w:val="0"/>
      <w:marBottom w:val="0"/>
      <w:divBdr>
        <w:top w:val="none" w:sz="0" w:space="0" w:color="auto"/>
        <w:left w:val="none" w:sz="0" w:space="0" w:color="auto"/>
        <w:bottom w:val="none" w:sz="0" w:space="0" w:color="auto"/>
        <w:right w:val="none" w:sz="0" w:space="0" w:color="auto"/>
      </w:divBdr>
    </w:div>
    <w:div w:id="1943219417">
      <w:bodyDiv w:val="1"/>
      <w:marLeft w:val="0"/>
      <w:marRight w:val="0"/>
      <w:marTop w:val="0"/>
      <w:marBottom w:val="0"/>
      <w:divBdr>
        <w:top w:val="none" w:sz="0" w:space="0" w:color="auto"/>
        <w:left w:val="none" w:sz="0" w:space="0" w:color="auto"/>
        <w:bottom w:val="none" w:sz="0" w:space="0" w:color="auto"/>
        <w:right w:val="none" w:sz="0" w:space="0" w:color="auto"/>
      </w:divBdr>
    </w:div>
    <w:div w:id="20444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4694</Words>
  <Characters>25747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2025-02-21T14:26:00Z</cp:lastPrinted>
  <dcterms:created xsi:type="dcterms:W3CDTF">2025-02-21T14:15:00Z</dcterms:created>
  <dcterms:modified xsi:type="dcterms:W3CDTF">2025-02-21T14:26:00Z</dcterms:modified>
</cp:coreProperties>
</file>