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7099" w14:textId="6E56403B" w:rsidR="007E4BF9" w:rsidRDefault="007E4BF9" w:rsidP="007E4BF9">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sidR="008F592C">
        <w:rPr>
          <w:rFonts w:ascii="Arial Narrow" w:hAnsi="Arial Narrow"/>
          <w:b/>
          <w:bCs/>
        </w:rPr>
        <w:t xml:space="preserve"> 17</w:t>
      </w:r>
      <w:r>
        <w:rPr>
          <w:rFonts w:ascii="Arial Narrow" w:hAnsi="Arial Narrow"/>
          <w:b/>
          <w:bCs/>
        </w:rPr>
        <w:t>/2025</w:t>
      </w:r>
    </w:p>
    <w:p w14:paraId="39347B2B" w14:textId="77777777" w:rsidR="007E4BF9" w:rsidRDefault="007E4BF9" w:rsidP="007E4BF9">
      <w:pPr>
        <w:pStyle w:val="Corpodetexto"/>
        <w:ind w:left="142" w:right="120"/>
        <w:jc w:val="center"/>
        <w:rPr>
          <w:rFonts w:ascii="Arial Narrow" w:hAnsi="Arial Narrow" w:cs="Arial MT"/>
          <w:b/>
          <w:bCs/>
        </w:rPr>
      </w:pPr>
    </w:p>
    <w:p w14:paraId="3B85BB34" w14:textId="670C8F28" w:rsidR="007E4BF9" w:rsidRDefault="007E4BF9" w:rsidP="008F592C">
      <w:pPr>
        <w:pStyle w:val="Corpodetexto"/>
        <w:spacing w:line="276" w:lineRule="auto"/>
        <w:ind w:left="142" w:right="120" w:firstLine="709"/>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DA EDUCAÇÃO CULTURA E ESPORTES,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w:t>
      </w:r>
      <w:r w:rsidR="004C4694">
        <w:rPr>
          <w:rFonts w:ascii="Arial Narrow" w:hAnsi="Arial Narrow" w:cs="Arial"/>
        </w:rPr>
        <w:t>pelo</w:t>
      </w:r>
      <w:r>
        <w:rPr>
          <w:rFonts w:ascii="Arial Narrow" w:hAnsi="Arial Narrow" w:cs="Arial"/>
        </w:rPr>
        <w:t xml:space="preserve"> Prefeito Sr. Giovani Luiz </w:t>
      </w:r>
      <w:proofErr w:type="spellStart"/>
      <w:r>
        <w:rPr>
          <w:rFonts w:ascii="Arial Narrow" w:hAnsi="Arial Narrow" w:cs="Arial"/>
        </w:rPr>
        <w:t>Brandalise</w:t>
      </w:r>
      <w:proofErr w:type="spellEnd"/>
      <w:r>
        <w:rPr>
          <w:rFonts w:ascii="Arial Narrow" w:hAnsi="Arial Narrow" w:cs="Arial"/>
        </w:rPr>
        <w:t xml:space="preserve">, </w:t>
      </w:r>
      <w:r>
        <w:rPr>
          <w:rFonts w:ascii="Arial Narrow" w:hAnsi="Arial Narrow"/>
        </w:rPr>
        <w:t xml:space="preserve">considerando o julgamento do Pregão Eletrônico n. 5/2025/PMAD – Processo Licitatório n. 19/2025/PMAD, RESOLVE registrar os preços da Empresa </w:t>
      </w:r>
      <w:r w:rsidR="006D2631" w:rsidRPr="006D2631">
        <w:rPr>
          <w:rFonts w:ascii="Arial Narrow" w:hAnsi="Arial Narrow"/>
          <w:b/>
          <w:bCs/>
        </w:rPr>
        <w:t>ASSOCIACAO DOS ARBITROS DO MEIO OESTE CATARINENSE</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6D2631" w:rsidRPr="006D2631">
        <w:rPr>
          <w:rFonts w:ascii="Arial Narrow" w:hAnsi="Arial Narrow"/>
        </w:rPr>
        <w:t>07.591.924/0001-59</w:t>
      </w:r>
      <w:r>
        <w:rPr>
          <w:rFonts w:ascii="Arial Narrow" w:hAnsi="Arial Narrow"/>
        </w:rPr>
        <w:t xml:space="preserve"> estabelecida na </w:t>
      </w:r>
      <w:r w:rsidR="006D2631" w:rsidRPr="006D2631">
        <w:rPr>
          <w:rFonts w:ascii="Arial Narrow" w:hAnsi="Arial Narrow"/>
        </w:rPr>
        <w:t>R</w:t>
      </w:r>
      <w:r w:rsidR="006D2631">
        <w:rPr>
          <w:rFonts w:ascii="Arial Narrow" w:hAnsi="Arial Narrow"/>
        </w:rPr>
        <w:t>ua</w:t>
      </w:r>
      <w:r w:rsidR="006D2631" w:rsidRPr="006D2631">
        <w:rPr>
          <w:rFonts w:ascii="Arial Narrow" w:hAnsi="Arial Narrow"/>
        </w:rPr>
        <w:t xml:space="preserve"> Luiz </w:t>
      </w:r>
      <w:proofErr w:type="spellStart"/>
      <w:r w:rsidR="006D2631" w:rsidRPr="006D2631">
        <w:rPr>
          <w:rFonts w:ascii="Arial Narrow" w:hAnsi="Arial Narrow"/>
        </w:rPr>
        <w:t>Specht</w:t>
      </w:r>
      <w:proofErr w:type="spellEnd"/>
      <w:r w:rsidR="006D2631">
        <w:rPr>
          <w:rFonts w:ascii="Arial Narrow" w:hAnsi="Arial Narrow"/>
        </w:rPr>
        <w:t>, n. 299</w:t>
      </w:r>
      <w:r>
        <w:rPr>
          <w:rFonts w:ascii="Arial Narrow" w:hAnsi="Arial Narrow"/>
        </w:rPr>
        <w:t xml:space="preserve">, Bairro </w:t>
      </w:r>
      <w:r w:rsidR="006D2631" w:rsidRPr="006D2631">
        <w:rPr>
          <w:rFonts w:ascii="Arial Narrow" w:hAnsi="Arial Narrow"/>
        </w:rPr>
        <w:t xml:space="preserve">Vila </w:t>
      </w:r>
      <w:proofErr w:type="spellStart"/>
      <w:r w:rsidR="006D2631" w:rsidRPr="006D2631">
        <w:rPr>
          <w:rFonts w:ascii="Arial Narrow" w:hAnsi="Arial Narrow"/>
        </w:rPr>
        <w:t>Pedrini</w:t>
      </w:r>
      <w:proofErr w:type="spellEnd"/>
      <w:r>
        <w:rPr>
          <w:rFonts w:ascii="Arial Narrow" w:hAnsi="Arial Narrow"/>
        </w:rPr>
        <w:t xml:space="preserve">, no Município de </w:t>
      </w:r>
      <w:r w:rsidR="006D2631" w:rsidRPr="006D2631">
        <w:rPr>
          <w:rFonts w:ascii="Arial Narrow" w:hAnsi="Arial Narrow"/>
        </w:rPr>
        <w:t>Joaçaba</w:t>
      </w:r>
      <w:r w:rsidR="006D2631">
        <w:rPr>
          <w:rFonts w:ascii="Arial Narrow" w:hAnsi="Arial Narrow"/>
        </w:rPr>
        <w:t xml:space="preserve"> (SC)</w:t>
      </w:r>
      <w:r>
        <w:rPr>
          <w:rFonts w:ascii="Arial Narrow" w:hAnsi="Arial Narrow"/>
        </w:rPr>
        <w:t xml:space="preserve">, neste ato representada pelo(a) </w:t>
      </w:r>
      <w:proofErr w:type="spellStart"/>
      <w:r>
        <w:rPr>
          <w:rFonts w:ascii="Arial Narrow" w:hAnsi="Arial Narrow"/>
        </w:rPr>
        <w:t>Sr</w:t>
      </w:r>
      <w:proofErr w:type="spellEnd"/>
      <w:r>
        <w:rPr>
          <w:rFonts w:ascii="Arial Narrow" w:hAnsi="Arial Narrow"/>
        </w:rPr>
        <w:t xml:space="preserve">(a). </w:t>
      </w:r>
      <w:r w:rsidR="006D2631" w:rsidRPr="006D2631">
        <w:rPr>
          <w:rFonts w:ascii="Arial Narrow" w:hAnsi="Arial Narrow"/>
        </w:rPr>
        <w:t>ACYR DA SILVA</w:t>
      </w:r>
      <w:r>
        <w:rPr>
          <w:rFonts w:ascii="Arial Narrow" w:hAnsi="Arial Narrow"/>
        </w:rPr>
        <w:t xml:space="preserve">, inscrito(a) no CPF sob o nº </w:t>
      </w:r>
      <w:r w:rsidR="006D2631" w:rsidRPr="006D2631">
        <w:rPr>
          <w:rFonts w:ascii="Arial Narrow" w:hAnsi="Arial Narrow"/>
        </w:rPr>
        <w:t>645.</w:t>
      </w:r>
      <w:r w:rsidR="00601C35">
        <w:rPr>
          <w:rFonts w:ascii="Arial Narrow" w:hAnsi="Arial Narrow"/>
        </w:rPr>
        <w:t>xxx</w:t>
      </w:r>
      <w:r w:rsidR="006D2631" w:rsidRPr="006D2631">
        <w:rPr>
          <w:rFonts w:ascii="Arial Narrow" w:hAnsi="Arial Narrow"/>
        </w:rPr>
        <w:t>.</w:t>
      </w:r>
      <w:r w:rsidR="00601C35">
        <w:rPr>
          <w:rFonts w:ascii="Arial Narrow" w:hAnsi="Arial Narrow"/>
        </w:rPr>
        <w:t>xxx</w:t>
      </w:r>
      <w:r w:rsidR="006D2631" w:rsidRPr="006D2631">
        <w:rPr>
          <w:rFonts w:ascii="Arial Narrow" w:hAnsi="Arial Narrow"/>
        </w:rPr>
        <w:t>-06</w:t>
      </w:r>
      <w:r w:rsidR="00601C35">
        <w:rPr>
          <w:rFonts w:ascii="Arial Narrow" w:hAnsi="Arial Narrow"/>
        </w:rPr>
        <w:t xml:space="preserve">, </w:t>
      </w:r>
      <w:r>
        <w:rPr>
          <w:rFonts w:ascii="Arial Narrow" w:hAnsi="Arial Narrow"/>
        </w:rPr>
        <w:t xml:space="preserve">de acordo com a classificação por ela alcançada </w:t>
      </w:r>
      <w:proofErr w:type="gramStart"/>
      <w:r>
        <w:rPr>
          <w:rFonts w:ascii="Arial Narrow" w:hAnsi="Arial Narrow"/>
        </w:rPr>
        <w:t>e</w:t>
      </w:r>
      <w:proofErr w:type="gramEnd"/>
      <w:r>
        <w:rPr>
          <w:rFonts w:ascii="Arial Narrow" w:hAnsi="Arial Narrow"/>
        </w:rPr>
        <w:t xml:space="preserve"> mas quantidades cotadas, atendendo as condições previstas no Edital, sujeitando-se as partes às normas constantes na Lei Federal n. 14.133/21, Lei Complementar n. 123/2006 e suas alterações, Decreto Federal nº 10.024/2019, dentre outras cominações legais, e, em conformidade com as disposições a seguir:</w:t>
      </w:r>
    </w:p>
    <w:p w14:paraId="146B9ADA" w14:textId="77777777" w:rsidR="007E4BF9" w:rsidRDefault="007E4BF9" w:rsidP="007E4BF9">
      <w:pPr>
        <w:pStyle w:val="Corpodetexto"/>
        <w:ind w:left="142" w:right="120"/>
        <w:jc w:val="both"/>
        <w:rPr>
          <w:rFonts w:ascii="Arial Narrow" w:hAnsi="Arial Narrow"/>
        </w:rPr>
      </w:pPr>
    </w:p>
    <w:p w14:paraId="7F205251" w14:textId="77777777" w:rsidR="007E4BF9" w:rsidRDefault="007E4BF9" w:rsidP="007E4BF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1602E550" w14:textId="77777777" w:rsidR="007E4BF9" w:rsidRDefault="007E4BF9" w:rsidP="007E4BF9">
      <w:pPr>
        <w:pStyle w:val="Corpodetexto"/>
        <w:ind w:left="567" w:right="120" w:hanging="425"/>
        <w:jc w:val="both"/>
        <w:rPr>
          <w:rFonts w:ascii="Arial Narrow" w:hAnsi="Arial Narrow"/>
        </w:rPr>
      </w:pPr>
    </w:p>
    <w:p w14:paraId="0823F985"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rPr>
      </w:pPr>
      <w:r>
        <w:rPr>
          <w:rFonts w:ascii="Arial Narrow" w:hAnsi="Arial Narrow"/>
        </w:rPr>
        <w:t xml:space="preserve">Constitui objeto da presente Ata, o </w:t>
      </w:r>
      <w:r>
        <w:rPr>
          <w:rFonts w:ascii="Arial Narrow" w:hAnsi="Arial Narrow" w:cs="Arial"/>
        </w:rPr>
        <w:t>Registro de Preços para futura e eventual contratação de serviços de arbitragem, para atendimento às necessidades do Departamento de Esportes do Município, pelo período até 12 meses</w:t>
      </w:r>
      <w:r>
        <w:rPr>
          <w:rFonts w:ascii="Arial Narrow" w:hAnsi="Arial Narrow"/>
        </w:rPr>
        <w:t>.</w:t>
      </w:r>
    </w:p>
    <w:p w14:paraId="6728136B" w14:textId="77777777" w:rsidR="007E4BF9" w:rsidRDefault="007E4BF9" w:rsidP="007E4BF9">
      <w:pPr>
        <w:pStyle w:val="Corpodetexto"/>
        <w:ind w:left="567" w:right="120" w:hanging="425"/>
        <w:jc w:val="both"/>
        <w:rPr>
          <w:rFonts w:ascii="Arial Narrow" w:hAnsi="Arial Narrow"/>
          <w:b/>
          <w:bCs/>
        </w:rPr>
      </w:pPr>
    </w:p>
    <w:p w14:paraId="077DE13E" w14:textId="77777777" w:rsidR="007E4BF9" w:rsidRDefault="007E4BF9" w:rsidP="007E4BF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0336B42F" w14:textId="77777777" w:rsidR="007E4BF9" w:rsidRDefault="007E4BF9" w:rsidP="007E4BF9">
      <w:pPr>
        <w:pStyle w:val="Corpodetexto"/>
        <w:ind w:left="567" w:right="120" w:hanging="425"/>
        <w:jc w:val="both"/>
        <w:rPr>
          <w:rFonts w:ascii="Arial Narrow" w:hAnsi="Arial Narrow"/>
          <w:b/>
          <w:bCs/>
        </w:rPr>
      </w:pPr>
    </w:p>
    <w:p w14:paraId="64AB2C70" w14:textId="77777777" w:rsidR="007E4BF9" w:rsidRDefault="007E4BF9" w:rsidP="007E4BF9">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Não há possibilidade de subcontratação de partes do serviço.</w:t>
      </w:r>
    </w:p>
    <w:p w14:paraId="15D4BBD4" w14:textId="77777777" w:rsidR="007E4BF9" w:rsidRDefault="007E4BF9" w:rsidP="007E4BF9">
      <w:pPr>
        <w:pStyle w:val="Corpodetexto"/>
        <w:ind w:left="679"/>
        <w:jc w:val="both"/>
        <w:rPr>
          <w:rFonts w:ascii="Arial Narrow" w:hAnsi="Arial Narrow" w:cs="Arial"/>
        </w:rPr>
      </w:pPr>
    </w:p>
    <w:p w14:paraId="1D367727" w14:textId="77777777" w:rsidR="007E4BF9" w:rsidRDefault="007E4BF9" w:rsidP="007E4BF9">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serviços somente poderão ser fornecidos pela proponente vencedora, vedado, portanto, o fornecimento de serviço por terceiros.</w:t>
      </w:r>
    </w:p>
    <w:p w14:paraId="4D85E36A" w14:textId="77777777" w:rsidR="007E4BF9" w:rsidRDefault="007E4BF9" w:rsidP="007E4BF9">
      <w:pPr>
        <w:pStyle w:val="PargrafodaLista"/>
        <w:rPr>
          <w:rFonts w:ascii="Arial Narrow" w:hAnsi="Arial Narrow" w:cs="Arial"/>
        </w:rPr>
      </w:pPr>
    </w:p>
    <w:p w14:paraId="247247F4" w14:textId="77777777" w:rsidR="007E4BF9" w:rsidRDefault="007E4BF9" w:rsidP="007E4BF9">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4F3F2B70" w14:textId="77777777" w:rsidR="007E4BF9" w:rsidRDefault="007E4BF9" w:rsidP="007E4BF9">
      <w:pPr>
        <w:pStyle w:val="PargrafodaLista"/>
        <w:rPr>
          <w:rFonts w:ascii="Arial Narrow" w:hAnsi="Arial Narrow" w:cs="Arial"/>
        </w:rPr>
      </w:pPr>
    </w:p>
    <w:p w14:paraId="457252AF" w14:textId="77777777" w:rsidR="007E4BF9" w:rsidRDefault="007E4BF9" w:rsidP="007E4BF9">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Os serviços deverão ser prestados com base na descrição de cada item, conforme necessidade e solicitação prévia da Secretaria de Educação, Cultura e Esporte, por intermédio do Departamento de Esportes, informando data, local e horário da prestação do serviço.</w:t>
      </w:r>
    </w:p>
    <w:p w14:paraId="4DDAEC19" w14:textId="77777777" w:rsidR="007E4BF9" w:rsidRDefault="007E4BF9" w:rsidP="007E4BF9">
      <w:pPr>
        <w:pStyle w:val="PargrafodaLista"/>
        <w:rPr>
          <w:rFonts w:ascii="Arial Narrow" w:hAnsi="Arial Narrow" w:cs="Arial"/>
        </w:rPr>
      </w:pPr>
    </w:p>
    <w:p w14:paraId="62A063D4" w14:textId="77777777" w:rsidR="007E4BF9" w:rsidRDefault="007E4BF9" w:rsidP="007E4BF9">
      <w:pPr>
        <w:pStyle w:val="Corpodetexto"/>
        <w:widowControl w:val="0"/>
        <w:numPr>
          <w:ilvl w:val="1"/>
          <w:numId w:val="16"/>
        </w:numPr>
        <w:autoSpaceDE w:val="0"/>
        <w:autoSpaceDN w:val="0"/>
        <w:spacing w:after="0"/>
        <w:jc w:val="both"/>
        <w:rPr>
          <w:rFonts w:ascii="Arial Narrow" w:hAnsi="Arial Narrow" w:cs="Arial"/>
        </w:rPr>
      </w:pPr>
      <w:r>
        <w:rPr>
          <w:rFonts w:ascii="Arial Narrow" w:hAnsi="Arial Narrow" w:cs="Arial"/>
        </w:rPr>
        <w:t>É de responsabilidade da contratada o transporte, diárias, material e uniforme dos prestadores do serviço até os locais designados, inclusive sem custo para a contratante.</w:t>
      </w:r>
    </w:p>
    <w:p w14:paraId="3E22B9AC" w14:textId="77777777" w:rsidR="007E4BF9" w:rsidRDefault="007E4BF9" w:rsidP="007E4BF9">
      <w:pPr>
        <w:pStyle w:val="Corpodetexto"/>
        <w:ind w:left="567" w:right="120" w:hanging="425"/>
        <w:jc w:val="both"/>
        <w:rPr>
          <w:rFonts w:ascii="Arial Narrow" w:hAnsi="Arial Narrow" w:cs="Arial MT"/>
          <w:b/>
          <w:bCs/>
        </w:rPr>
      </w:pPr>
    </w:p>
    <w:p w14:paraId="5539C669" w14:textId="77777777" w:rsidR="007E4BF9" w:rsidRDefault="007E4BF9" w:rsidP="007E4BF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PRAZO DE VIGÊNCIA</w:t>
      </w:r>
    </w:p>
    <w:p w14:paraId="247D9C90" w14:textId="77777777" w:rsidR="007E4BF9" w:rsidRDefault="007E4BF9" w:rsidP="007E4BF9">
      <w:pPr>
        <w:pStyle w:val="Corpodetexto"/>
        <w:ind w:left="502" w:right="120"/>
        <w:jc w:val="both"/>
        <w:rPr>
          <w:rFonts w:ascii="Arial Narrow" w:hAnsi="Arial Narrow"/>
          <w:b/>
          <w:bCs/>
        </w:rPr>
      </w:pPr>
    </w:p>
    <w:p w14:paraId="01EC01CE"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560DE5DF" w14:textId="77777777" w:rsidR="007E4BF9" w:rsidRDefault="007E4BF9" w:rsidP="007E4BF9">
      <w:pPr>
        <w:pStyle w:val="Corpodetexto"/>
        <w:ind w:left="502" w:right="120"/>
        <w:jc w:val="both"/>
        <w:rPr>
          <w:rFonts w:ascii="Arial Narrow" w:hAnsi="Arial Narrow"/>
          <w:b/>
          <w:bCs/>
        </w:rPr>
      </w:pPr>
    </w:p>
    <w:p w14:paraId="6E387207"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067B7B78" w14:textId="77777777" w:rsidR="007E4BF9" w:rsidRDefault="007E4BF9" w:rsidP="007E4BF9">
      <w:pPr>
        <w:pStyle w:val="PargrafodaLista"/>
        <w:rPr>
          <w:rFonts w:ascii="Arial Narrow" w:hAnsi="Arial Narrow"/>
          <w:b/>
          <w:bCs/>
        </w:rPr>
      </w:pPr>
    </w:p>
    <w:p w14:paraId="4A3C6710" w14:textId="7CE9E696"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4C4694">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0A4A9AB2" w14:textId="77777777" w:rsidR="007E4BF9" w:rsidRDefault="007E4BF9" w:rsidP="007E4BF9">
      <w:pPr>
        <w:pStyle w:val="PargrafodaLista"/>
        <w:rPr>
          <w:rFonts w:ascii="Arial Narrow" w:hAnsi="Arial Narrow"/>
          <w:b/>
          <w:bCs/>
        </w:rPr>
      </w:pPr>
    </w:p>
    <w:p w14:paraId="6B1D55E2" w14:textId="77777777" w:rsidR="007E4BF9" w:rsidRDefault="007E4BF9" w:rsidP="007E4BF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5F74BA48" w14:textId="77777777" w:rsidR="007E4BF9" w:rsidRDefault="007E4BF9" w:rsidP="007E4BF9">
      <w:pPr>
        <w:pStyle w:val="Corpodetexto"/>
        <w:ind w:left="502" w:right="120"/>
        <w:jc w:val="both"/>
        <w:rPr>
          <w:rFonts w:ascii="Arial Narrow" w:hAnsi="Arial Narrow"/>
          <w:b/>
          <w:bCs/>
        </w:rPr>
      </w:pPr>
    </w:p>
    <w:p w14:paraId="1C1B4DAD"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tbl>
      <w:tblPr>
        <w:tblStyle w:val="TableNormal"/>
        <w:tblW w:w="991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4495"/>
        <w:gridCol w:w="1575"/>
        <w:gridCol w:w="1578"/>
      </w:tblGrid>
      <w:tr w:rsidR="007E4BF9" w:rsidRPr="00D94808" w14:paraId="0BAEC007" w14:textId="77777777" w:rsidTr="00D94808">
        <w:trPr>
          <w:trHeight w:val="283"/>
        </w:trPr>
        <w:tc>
          <w:tcPr>
            <w:tcW w:w="697" w:type="dxa"/>
            <w:tcBorders>
              <w:top w:val="single" w:sz="4" w:space="0" w:color="000000"/>
              <w:left w:val="single" w:sz="4" w:space="0" w:color="000000"/>
              <w:bottom w:val="single" w:sz="4" w:space="0" w:color="000000"/>
              <w:right w:val="single" w:sz="4" w:space="0" w:color="000000"/>
            </w:tcBorders>
            <w:vAlign w:val="center"/>
            <w:hideMark/>
          </w:tcPr>
          <w:p w14:paraId="5E7FA071" w14:textId="77777777" w:rsidR="007E4BF9" w:rsidRPr="00D94808" w:rsidRDefault="007E4BF9">
            <w:pPr>
              <w:pStyle w:val="TableParagraph"/>
              <w:ind w:left="89" w:right="79"/>
              <w:jc w:val="center"/>
              <w:rPr>
                <w:rFonts w:ascii="Arial Narrow" w:hAnsi="Arial Narrow" w:cs="Arial"/>
                <w:b/>
                <w:sz w:val="20"/>
                <w:szCs w:val="20"/>
              </w:rPr>
            </w:pPr>
            <w:r w:rsidRPr="00D94808">
              <w:rPr>
                <w:rFonts w:ascii="Arial Narrow" w:hAnsi="Arial Narrow" w:cs="Arial"/>
                <w:b/>
                <w:sz w:val="20"/>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613AEA89" w14:textId="77777777" w:rsidR="007E4BF9" w:rsidRPr="00D94808" w:rsidRDefault="007E4BF9">
            <w:pPr>
              <w:pStyle w:val="TableParagraph"/>
              <w:ind w:left="125" w:right="121"/>
              <w:jc w:val="center"/>
              <w:rPr>
                <w:rFonts w:ascii="Arial Narrow" w:hAnsi="Arial Narrow" w:cs="Arial"/>
                <w:b/>
                <w:sz w:val="20"/>
                <w:szCs w:val="20"/>
              </w:rPr>
            </w:pPr>
            <w:r w:rsidRPr="00D94808">
              <w:rPr>
                <w:rFonts w:ascii="Arial Narrow" w:hAnsi="Arial Narrow" w:cs="Arial"/>
                <w:b/>
                <w:sz w:val="20"/>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2C4481A8" w14:textId="77777777" w:rsidR="007E4BF9" w:rsidRPr="00D94808" w:rsidRDefault="007E4BF9">
            <w:pPr>
              <w:pStyle w:val="TableParagraph"/>
              <w:ind w:left="122" w:right="111"/>
              <w:jc w:val="center"/>
              <w:rPr>
                <w:rFonts w:ascii="Arial Narrow" w:hAnsi="Arial Narrow" w:cs="Arial"/>
                <w:b/>
                <w:sz w:val="20"/>
                <w:szCs w:val="20"/>
              </w:rPr>
            </w:pPr>
            <w:r w:rsidRPr="00D94808">
              <w:rPr>
                <w:rFonts w:ascii="Arial Narrow" w:hAnsi="Arial Narrow" w:cs="Arial"/>
                <w:b/>
                <w:sz w:val="20"/>
                <w:szCs w:val="20"/>
              </w:rPr>
              <w:t>UN</w:t>
            </w:r>
          </w:p>
        </w:tc>
        <w:tc>
          <w:tcPr>
            <w:tcW w:w="4495" w:type="dxa"/>
            <w:tcBorders>
              <w:top w:val="single" w:sz="4" w:space="0" w:color="000000"/>
              <w:left w:val="single" w:sz="4" w:space="0" w:color="000000"/>
              <w:bottom w:val="single" w:sz="4" w:space="0" w:color="000000"/>
              <w:right w:val="single" w:sz="4" w:space="0" w:color="000000"/>
            </w:tcBorders>
            <w:vAlign w:val="center"/>
            <w:hideMark/>
          </w:tcPr>
          <w:p w14:paraId="5B2ED57C" w14:textId="77777777" w:rsidR="007E4BF9" w:rsidRPr="00D94808" w:rsidRDefault="007E4BF9">
            <w:pPr>
              <w:pStyle w:val="TableParagraph"/>
              <w:ind w:left="17"/>
              <w:jc w:val="center"/>
              <w:rPr>
                <w:rFonts w:ascii="Arial Narrow" w:hAnsi="Arial Narrow" w:cs="Arial"/>
                <w:b/>
                <w:sz w:val="20"/>
                <w:szCs w:val="20"/>
              </w:rPr>
            </w:pPr>
            <w:r w:rsidRPr="00D94808">
              <w:rPr>
                <w:rFonts w:ascii="Arial Narrow" w:hAnsi="Arial Narrow" w:cs="Arial"/>
                <w:b/>
                <w:sz w:val="20"/>
                <w:szCs w:val="20"/>
              </w:rPr>
              <w:t>ESPECIFICAÇÃO</w:t>
            </w:r>
          </w:p>
        </w:tc>
        <w:tc>
          <w:tcPr>
            <w:tcW w:w="1575" w:type="dxa"/>
            <w:tcBorders>
              <w:top w:val="single" w:sz="4" w:space="0" w:color="000000"/>
              <w:left w:val="single" w:sz="4" w:space="0" w:color="000000"/>
              <w:bottom w:val="single" w:sz="4" w:space="0" w:color="000000"/>
              <w:right w:val="single" w:sz="4" w:space="0" w:color="000000"/>
            </w:tcBorders>
            <w:vAlign w:val="center"/>
            <w:hideMark/>
          </w:tcPr>
          <w:p w14:paraId="2EC0CC84" w14:textId="77777777" w:rsidR="007E4BF9" w:rsidRPr="00D94808" w:rsidRDefault="007E4BF9">
            <w:pPr>
              <w:pStyle w:val="TableParagraph"/>
              <w:ind w:left="153" w:right="146" w:firstLine="5"/>
              <w:jc w:val="center"/>
              <w:rPr>
                <w:rFonts w:ascii="Arial Narrow" w:hAnsi="Arial Narrow" w:cs="Arial"/>
                <w:b/>
                <w:sz w:val="20"/>
                <w:szCs w:val="20"/>
              </w:rPr>
            </w:pPr>
            <w:r w:rsidRPr="00D94808">
              <w:rPr>
                <w:rFonts w:ascii="Arial Narrow" w:hAnsi="Arial Narrow" w:cs="Arial"/>
                <w:b/>
                <w:sz w:val="20"/>
                <w:szCs w:val="20"/>
              </w:rPr>
              <w:t>VALOR UNITÁRIO (R$)</w:t>
            </w:r>
          </w:p>
        </w:tc>
        <w:tc>
          <w:tcPr>
            <w:tcW w:w="1578" w:type="dxa"/>
            <w:tcBorders>
              <w:top w:val="single" w:sz="4" w:space="0" w:color="000000"/>
              <w:left w:val="single" w:sz="4" w:space="0" w:color="000000"/>
              <w:bottom w:val="single" w:sz="4" w:space="0" w:color="000000"/>
              <w:right w:val="single" w:sz="4" w:space="0" w:color="000000"/>
            </w:tcBorders>
            <w:vAlign w:val="center"/>
            <w:hideMark/>
          </w:tcPr>
          <w:p w14:paraId="3572AEF5" w14:textId="77777777" w:rsidR="007E4BF9" w:rsidRPr="00D94808" w:rsidRDefault="007E4BF9">
            <w:pPr>
              <w:pStyle w:val="TableParagraph"/>
              <w:ind w:left="155" w:right="147" w:firstLine="5"/>
              <w:jc w:val="center"/>
              <w:rPr>
                <w:rFonts w:ascii="Arial Narrow" w:hAnsi="Arial Narrow" w:cs="Arial"/>
                <w:b/>
                <w:sz w:val="20"/>
                <w:szCs w:val="20"/>
              </w:rPr>
            </w:pPr>
            <w:r w:rsidRPr="00D94808">
              <w:rPr>
                <w:rFonts w:ascii="Arial Narrow" w:hAnsi="Arial Narrow" w:cs="Arial"/>
                <w:b/>
                <w:sz w:val="20"/>
                <w:szCs w:val="20"/>
              </w:rPr>
              <w:t>VALOR TOTAL (R$)</w:t>
            </w:r>
          </w:p>
        </w:tc>
      </w:tr>
      <w:tr w:rsidR="00D94808" w:rsidRPr="00D94808" w14:paraId="05A36738" w14:textId="77777777" w:rsidTr="00D94808">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4A0989E9" w14:textId="3A567AA2" w:rsidR="00D94808" w:rsidRPr="00D94808" w:rsidRDefault="00D94808" w:rsidP="00D94808">
            <w:pPr>
              <w:pStyle w:val="TableParagraph"/>
              <w:ind w:left="14"/>
              <w:jc w:val="center"/>
              <w:rPr>
                <w:rFonts w:ascii="Arial Narrow" w:hAnsi="Arial Narrow" w:cs="Arial"/>
                <w:sz w:val="20"/>
                <w:szCs w:val="20"/>
              </w:rPr>
            </w:pPr>
            <w:r>
              <w:rPr>
                <w:rFonts w:ascii="Arial Narrow" w:hAnsi="Arial Narrow" w:cs="Arial"/>
                <w:sz w:val="20"/>
                <w:szCs w:val="20"/>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6AFC806A" w14:textId="550817A4" w:rsidR="00D94808" w:rsidRPr="00D94808" w:rsidRDefault="00D94808" w:rsidP="00D94808">
            <w:pPr>
              <w:pStyle w:val="TableParagraph"/>
              <w:ind w:left="125" w:right="118"/>
              <w:jc w:val="center"/>
              <w:rPr>
                <w:rFonts w:ascii="Arial Narrow" w:hAnsi="Arial Narrow" w:cs="Arial"/>
                <w:sz w:val="20"/>
                <w:szCs w:val="20"/>
              </w:rPr>
            </w:pPr>
            <w:r>
              <w:rPr>
                <w:rFonts w:ascii="Arial Narrow" w:hAnsi="Arial Narrow" w:cs="Arial"/>
                <w:sz w:val="20"/>
                <w:szCs w:val="20"/>
              </w:rPr>
              <w:t>500</w:t>
            </w:r>
          </w:p>
        </w:tc>
        <w:tc>
          <w:tcPr>
            <w:tcW w:w="718" w:type="dxa"/>
            <w:tcBorders>
              <w:top w:val="single" w:sz="4" w:space="0" w:color="000000"/>
              <w:left w:val="single" w:sz="4" w:space="0" w:color="000000"/>
              <w:bottom w:val="single" w:sz="4" w:space="0" w:color="000000"/>
              <w:right w:val="single" w:sz="4" w:space="0" w:color="000000"/>
            </w:tcBorders>
            <w:vAlign w:val="center"/>
          </w:tcPr>
          <w:p w14:paraId="73D75B5D" w14:textId="4FC6CCC2" w:rsidR="00D94808" w:rsidRPr="00D94808" w:rsidRDefault="00D94808" w:rsidP="00D94808">
            <w:pPr>
              <w:pStyle w:val="TableParagraph"/>
              <w:ind w:left="123" w:right="111"/>
              <w:jc w:val="center"/>
              <w:rPr>
                <w:rFonts w:ascii="Arial Narrow" w:hAnsi="Arial Narrow" w:cs="Arial"/>
                <w:sz w:val="20"/>
                <w:szCs w:val="20"/>
              </w:rPr>
            </w:pPr>
            <w:r>
              <w:rPr>
                <w:rFonts w:ascii="Arial Narrow" w:hAnsi="Arial Narrow" w:cs="Arial"/>
                <w:sz w:val="20"/>
                <w:szCs w:val="20"/>
              </w:rPr>
              <w:t>UN</w:t>
            </w:r>
          </w:p>
        </w:tc>
        <w:tc>
          <w:tcPr>
            <w:tcW w:w="4495" w:type="dxa"/>
            <w:tcBorders>
              <w:top w:val="single" w:sz="4" w:space="0" w:color="000000"/>
              <w:left w:val="single" w:sz="4" w:space="0" w:color="000000"/>
              <w:bottom w:val="single" w:sz="4" w:space="0" w:color="000000"/>
              <w:right w:val="single" w:sz="4" w:space="0" w:color="000000"/>
            </w:tcBorders>
            <w:vAlign w:val="center"/>
          </w:tcPr>
          <w:p w14:paraId="27D8FE8A" w14:textId="1E3CF6EF" w:rsidR="00D94808" w:rsidRPr="00D94808" w:rsidRDefault="00D94808" w:rsidP="00D94808">
            <w:pPr>
              <w:pStyle w:val="TableParagraph"/>
              <w:ind w:left="107" w:right="99"/>
              <w:jc w:val="both"/>
              <w:rPr>
                <w:rFonts w:ascii="Arial Narrow" w:hAnsi="Arial Narrow" w:cs="Arial"/>
                <w:sz w:val="20"/>
                <w:szCs w:val="20"/>
              </w:rPr>
            </w:pPr>
            <w:r>
              <w:rPr>
                <w:rFonts w:ascii="Arial Narrow" w:hAnsi="Arial Narrow" w:cs="Calibri"/>
                <w:bCs/>
                <w:sz w:val="18"/>
                <w:szCs w:val="18"/>
                <w:lang w:eastAsia="pt-BR"/>
              </w:rPr>
              <w:t>Serviços de arbitragem para jogos de futebol de salão – adulto (masculino/feminino), interior e veteranos e para jogos do campeonato aberto de futebol de salão masculino e feminino.</w:t>
            </w:r>
          </w:p>
        </w:tc>
        <w:tc>
          <w:tcPr>
            <w:tcW w:w="1575" w:type="dxa"/>
            <w:tcBorders>
              <w:top w:val="single" w:sz="4" w:space="0" w:color="000000"/>
              <w:left w:val="single" w:sz="4" w:space="0" w:color="000000"/>
              <w:bottom w:val="single" w:sz="4" w:space="0" w:color="000000"/>
              <w:right w:val="single" w:sz="4" w:space="0" w:color="000000"/>
            </w:tcBorders>
            <w:vAlign w:val="center"/>
          </w:tcPr>
          <w:p w14:paraId="4AA9C26F" w14:textId="7EEEB600"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372,00</w:t>
            </w:r>
          </w:p>
        </w:tc>
        <w:tc>
          <w:tcPr>
            <w:tcW w:w="1578" w:type="dxa"/>
            <w:tcBorders>
              <w:top w:val="single" w:sz="4" w:space="0" w:color="000000"/>
              <w:left w:val="single" w:sz="4" w:space="0" w:color="000000"/>
              <w:bottom w:val="single" w:sz="4" w:space="0" w:color="000000"/>
              <w:right w:val="single" w:sz="4" w:space="0" w:color="000000"/>
            </w:tcBorders>
            <w:vAlign w:val="center"/>
          </w:tcPr>
          <w:p w14:paraId="6D94EF0B" w14:textId="03E9EB27"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186.000,00</w:t>
            </w:r>
          </w:p>
        </w:tc>
      </w:tr>
      <w:tr w:rsidR="00D94808" w:rsidRPr="00D94808" w14:paraId="26EECE67" w14:textId="77777777" w:rsidTr="00D94808">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68BB8A4F" w14:textId="2647A2E1"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02</w:t>
            </w:r>
          </w:p>
        </w:tc>
        <w:tc>
          <w:tcPr>
            <w:tcW w:w="852" w:type="dxa"/>
            <w:tcBorders>
              <w:top w:val="single" w:sz="4" w:space="0" w:color="000000"/>
              <w:left w:val="single" w:sz="4" w:space="0" w:color="000000"/>
              <w:bottom w:val="single" w:sz="4" w:space="0" w:color="000000"/>
              <w:right w:val="single" w:sz="4" w:space="0" w:color="000000"/>
            </w:tcBorders>
            <w:vAlign w:val="center"/>
          </w:tcPr>
          <w:p w14:paraId="7DB5F706" w14:textId="113FBEC9"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100</w:t>
            </w:r>
          </w:p>
        </w:tc>
        <w:tc>
          <w:tcPr>
            <w:tcW w:w="718" w:type="dxa"/>
            <w:tcBorders>
              <w:top w:val="single" w:sz="4" w:space="0" w:color="000000"/>
              <w:left w:val="single" w:sz="4" w:space="0" w:color="000000"/>
              <w:bottom w:val="single" w:sz="4" w:space="0" w:color="000000"/>
              <w:right w:val="single" w:sz="4" w:space="0" w:color="000000"/>
            </w:tcBorders>
            <w:vAlign w:val="center"/>
          </w:tcPr>
          <w:p w14:paraId="48D2AAD3" w14:textId="4D30870E"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UN</w:t>
            </w:r>
          </w:p>
        </w:tc>
        <w:tc>
          <w:tcPr>
            <w:tcW w:w="4495" w:type="dxa"/>
            <w:tcBorders>
              <w:top w:val="single" w:sz="4" w:space="0" w:color="000000"/>
              <w:left w:val="single" w:sz="4" w:space="0" w:color="000000"/>
              <w:bottom w:val="single" w:sz="4" w:space="0" w:color="000000"/>
              <w:right w:val="single" w:sz="4" w:space="0" w:color="000000"/>
            </w:tcBorders>
          </w:tcPr>
          <w:p w14:paraId="54F02E0D" w14:textId="23D9FD9D" w:rsidR="00D94808" w:rsidRPr="00D94808" w:rsidRDefault="00D94808" w:rsidP="00D94808">
            <w:pPr>
              <w:pStyle w:val="TableParagraph"/>
              <w:ind w:left="107" w:right="98"/>
              <w:jc w:val="both"/>
              <w:rPr>
                <w:rFonts w:ascii="Arial Narrow" w:hAnsi="Arial Narrow" w:cs="Arial"/>
                <w:sz w:val="20"/>
                <w:szCs w:val="20"/>
              </w:rPr>
            </w:pPr>
            <w:r>
              <w:rPr>
                <w:rFonts w:ascii="Arial Narrow" w:hAnsi="Arial Narrow" w:cs="Calibri"/>
                <w:bCs/>
                <w:sz w:val="18"/>
                <w:szCs w:val="18"/>
                <w:lang w:eastAsia="pt-BR"/>
              </w:rPr>
              <w:t>Serviços de arbitragem para jogos de voleibol.</w:t>
            </w:r>
          </w:p>
        </w:tc>
        <w:tc>
          <w:tcPr>
            <w:tcW w:w="1575" w:type="dxa"/>
            <w:tcBorders>
              <w:top w:val="single" w:sz="4" w:space="0" w:color="000000"/>
              <w:left w:val="single" w:sz="4" w:space="0" w:color="000000"/>
              <w:bottom w:val="single" w:sz="4" w:space="0" w:color="000000"/>
              <w:right w:val="single" w:sz="4" w:space="0" w:color="000000"/>
            </w:tcBorders>
            <w:vAlign w:val="center"/>
          </w:tcPr>
          <w:p w14:paraId="1D239AEA" w14:textId="66D7ED3D"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360,00</w:t>
            </w:r>
          </w:p>
        </w:tc>
        <w:tc>
          <w:tcPr>
            <w:tcW w:w="1578" w:type="dxa"/>
            <w:tcBorders>
              <w:top w:val="single" w:sz="4" w:space="0" w:color="000000"/>
              <w:left w:val="single" w:sz="4" w:space="0" w:color="000000"/>
              <w:bottom w:val="single" w:sz="4" w:space="0" w:color="000000"/>
              <w:right w:val="single" w:sz="4" w:space="0" w:color="000000"/>
            </w:tcBorders>
            <w:vAlign w:val="center"/>
          </w:tcPr>
          <w:p w14:paraId="79FAD5F3" w14:textId="3A07D63A"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36.000,00</w:t>
            </w:r>
          </w:p>
        </w:tc>
      </w:tr>
      <w:tr w:rsidR="00D94808" w:rsidRPr="00D94808" w14:paraId="125EABCF" w14:textId="77777777" w:rsidTr="00D94808">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2711A76" w14:textId="31ED8FA4"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03</w:t>
            </w:r>
          </w:p>
        </w:tc>
        <w:tc>
          <w:tcPr>
            <w:tcW w:w="852" w:type="dxa"/>
            <w:tcBorders>
              <w:top w:val="single" w:sz="4" w:space="0" w:color="000000"/>
              <w:left w:val="single" w:sz="4" w:space="0" w:color="000000"/>
              <w:bottom w:val="single" w:sz="4" w:space="0" w:color="000000"/>
              <w:right w:val="single" w:sz="4" w:space="0" w:color="000000"/>
            </w:tcBorders>
            <w:vAlign w:val="center"/>
          </w:tcPr>
          <w:p w14:paraId="381100ED" w14:textId="40DC7C62"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150</w:t>
            </w:r>
          </w:p>
        </w:tc>
        <w:tc>
          <w:tcPr>
            <w:tcW w:w="718" w:type="dxa"/>
            <w:tcBorders>
              <w:top w:val="single" w:sz="4" w:space="0" w:color="000000"/>
              <w:left w:val="single" w:sz="4" w:space="0" w:color="000000"/>
              <w:bottom w:val="single" w:sz="4" w:space="0" w:color="000000"/>
              <w:right w:val="single" w:sz="4" w:space="0" w:color="000000"/>
            </w:tcBorders>
            <w:vAlign w:val="center"/>
          </w:tcPr>
          <w:p w14:paraId="7F5D58B0" w14:textId="50CD8D92"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UN</w:t>
            </w:r>
          </w:p>
        </w:tc>
        <w:tc>
          <w:tcPr>
            <w:tcW w:w="4495" w:type="dxa"/>
            <w:tcBorders>
              <w:top w:val="single" w:sz="4" w:space="0" w:color="000000"/>
              <w:left w:val="single" w:sz="4" w:space="0" w:color="000000"/>
              <w:bottom w:val="single" w:sz="4" w:space="0" w:color="000000"/>
              <w:right w:val="single" w:sz="4" w:space="0" w:color="000000"/>
            </w:tcBorders>
          </w:tcPr>
          <w:p w14:paraId="3B205AEA" w14:textId="7CE33680" w:rsidR="00D94808" w:rsidRPr="00D94808" w:rsidRDefault="00D94808" w:rsidP="00D94808">
            <w:pPr>
              <w:pStyle w:val="TableParagraph"/>
              <w:ind w:left="107" w:right="98"/>
              <w:jc w:val="both"/>
              <w:rPr>
                <w:rFonts w:ascii="Arial Narrow" w:hAnsi="Arial Narrow" w:cs="Arial"/>
                <w:sz w:val="20"/>
                <w:szCs w:val="20"/>
              </w:rPr>
            </w:pPr>
            <w:r>
              <w:rPr>
                <w:rFonts w:ascii="Arial Narrow" w:hAnsi="Arial Narrow" w:cs="Calibri"/>
                <w:bCs/>
                <w:sz w:val="18"/>
                <w:szCs w:val="18"/>
                <w:lang w:eastAsia="pt-BR"/>
              </w:rPr>
              <w:t>Serviços de arbitragem para jogos de futebol suíço.</w:t>
            </w:r>
          </w:p>
        </w:tc>
        <w:tc>
          <w:tcPr>
            <w:tcW w:w="1575" w:type="dxa"/>
            <w:tcBorders>
              <w:top w:val="single" w:sz="4" w:space="0" w:color="000000"/>
              <w:left w:val="single" w:sz="4" w:space="0" w:color="000000"/>
              <w:bottom w:val="single" w:sz="4" w:space="0" w:color="000000"/>
              <w:right w:val="single" w:sz="4" w:space="0" w:color="000000"/>
            </w:tcBorders>
            <w:vAlign w:val="center"/>
          </w:tcPr>
          <w:p w14:paraId="634C89F7" w14:textId="69424A76"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300,00</w:t>
            </w:r>
          </w:p>
        </w:tc>
        <w:tc>
          <w:tcPr>
            <w:tcW w:w="1578" w:type="dxa"/>
            <w:tcBorders>
              <w:top w:val="single" w:sz="4" w:space="0" w:color="000000"/>
              <w:left w:val="single" w:sz="4" w:space="0" w:color="000000"/>
              <w:bottom w:val="single" w:sz="4" w:space="0" w:color="000000"/>
              <w:right w:val="single" w:sz="4" w:space="0" w:color="000000"/>
            </w:tcBorders>
            <w:vAlign w:val="center"/>
          </w:tcPr>
          <w:p w14:paraId="0A55A319" w14:textId="1C25304B"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45.000,00</w:t>
            </w:r>
          </w:p>
        </w:tc>
      </w:tr>
      <w:tr w:rsidR="00D94808" w:rsidRPr="00D94808" w14:paraId="7AA3E4B8" w14:textId="77777777" w:rsidTr="00D94808">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54F1E0BE" w14:textId="48D14A86"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04</w:t>
            </w:r>
          </w:p>
        </w:tc>
        <w:tc>
          <w:tcPr>
            <w:tcW w:w="852" w:type="dxa"/>
            <w:tcBorders>
              <w:top w:val="single" w:sz="4" w:space="0" w:color="000000"/>
              <w:left w:val="single" w:sz="4" w:space="0" w:color="000000"/>
              <w:bottom w:val="single" w:sz="4" w:space="0" w:color="000000"/>
              <w:right w:val="single" w:sz="4" w:space="0" w:color="000000"/>
            </w:tcBorders>
            <w:vAlign w:val="center"/>
          </w:tcPr>
          <w:p w14:paraId="5E47A9DF" w14:textId="42350C33"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60</w:t>
            </w:r>
          </w:p>
        </w:tc>
        <w:tc>
          <w:tcPr>
            <w:tcW w:w="718" w:type="dxa"/>
            <w:tcBorders>
              <w:top w:val="single" w:sz="4" w:space="0" w:color="000000"/>
              <w:left w:val="single" w:sz="4" w:space="0" w:color="000000"/>
              <w:bottom w:val="single" w:sz="4" w:space="0" w:color="000000"/>
              <w:right w:val="single" w:sz="4" w:space="0" w:color="000000"/>
            </w:tcBorders>
            <w:vAlign w:val="center"/>
          </w:tcPr>
          <w:p w14:paraId="7E4CA979" w14:textId="022D0433"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UN</w:t>
            </w:r>
          </w:p>
        </w:tc>
        <w:tc>
          <w:tcPr>
            <w:tcW w:w="4495" w:type="dxa"/>
            <w:tcBorders>
              <w:top w:val="single" w:sz="4" w:space="0" w:color="000000"/>
              <w:left w:val="single" w:sz="4" w:space="0" w:color="000000"/>
              <w:bottom w:val="single" w:sz="4" w:space="0" w:color="000000"/>
              <w:right w:val="single" w:sz="4" w:space="0" w:color="000000"/>
            </w:tcBorders>
          </w:tcPr>
          <w:p w14:paraId="5E0E8283" w14:textId="33AED97B" w:rsidR="00D94808" w:rsidRPr="00D94808" w:rsidRDefault="00D94808" w:rsidP="00D94808">
            <w:pPr>
              <w:pStyle w:val="TableParagraph"/>
              <w:ind w:left="107" w:right="98"/>
              <w:jc w:val="both"/>
              <w:rPr>
                <w:rFonts w:ascii="Arial Narrow" w:hAnsi="Arial Narrow" w:cs="Arial"/>
                <w:sz w:val="20"/>
                <w:szCs w:val="20"/>
              </w:rPr>
            </w:pPr>
            <w:r>
              <w:rPr>
                <w:rFonts w:ascii="Arial Narrow" w:hAnsi="Arial Narrow" w:cs="Calibri"/>
                <w:bCs/>
                <w:sz w:val="18"/>
                <w:szCs w:val="18"/>
                <w:lang w:eastAsia="pt-BR"/>
              </w:rPr>
              <w:t>Serviços de arbitragem para jogos de futebol de campo.</w:t>
            </w:r>
          </w:p>
        </w:tc>
        <w:tc>
          <w:tcPr>
            <w:tcW w:w="1575" w:type="dxa"/>
            <w:tcBorders>
              <w:top w:val="single" w:sz="4" w:space="0" w:color="000000"/>
              <w:left w:val="single" w:sz="4" w:space="0" w:color="000000"/>
              <w:bottom w:val="single" w:sz="4" w:space="0" w:color="000000"/>
              <w:right w:val="single" w:sz="4" w:space="0" w:color="000000"/>
            </w:tcBorders>
            <w:vAlign w:val="center"/>
          </w:tcPr>
          <w:p w14:paraId="6DB1C9A8" w14:textId="5B39EF08"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700,00</w:t>
            </w:r>
          </w:p>
        </w:tc>
        <w:tc>
          <w:tcPr>
            <w:tcW w:w="1578" w:type="dxa"/>
            <w:tcBorders>
              <w:top w:val="single" w:sz="4" w:space="0" w:color="000000"/>
              <w:left w:val="single" w:sz="4" w:space="0" w:color="000000"/>
              <w:bottom w:val="single" w:sz="4" w:space="0" w:color="000000"/>
              <w:right w:val="single" w:sz="4" w:space="0" w:color="000000"/>
            </w:tcBorders>
            <w:vAlign w:val="center"/>
          </w:tcPr>
          <w:p w14:paraId="58922BB7" w14:textId="672062D9"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42.000,00</w:t>
            </w:r>
          </w:p>
        </w:tc>
      </w:tr>
      <w:tr w:rsidR="00D94808" w:rsidRPr="00D94808" w14:paraId="07719C4C" w14:textId="77777777" w:rsidTr="00D94808">
        <w:trPr>
          <w:trHeight w:val="283"/>
        </w:trPr>
        <w:tc>
          <w:tcPr>
            <w:tcW w:w="697" w:type="dxa"/>
            <w:tcBorders>
              <w:top w:val="single" w:sz="4" w:space="0" w:color="000000"/>
              <w:left w:val="single" w:sz="4" w:space="0" w:color="000000"/>
              <w:bottom w:val="single" w:sz="4" w:space="0" w:color="000000"/>
              <w:right w:val="single" w:sz="4" w:space="0" w:color="000000"/>
            </w:tcBorders>
            <w:vAlign w:val="center"/>
          </w:tcPr>
          <w:p w14:paraId="32200962" w14:textId="3E779178"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05</w:t>
            </w:r>
          </w:p>
        </w:tc>
        <w:tc>
          <w:tcPr>
            <w:tcW w:w="852" w:type="dxa"/>
            <w:tcBorders>
              <w:top w:val="single" w:sz="4" w:space="0" w:color="000000"/>
              <w:left w:val="single" w:sz="4" w:space="0" w:color="000000"/>
              <w:bottom w:val="single" w:sz="4" w:space="0" w:color="000000"/>
              <w:right w:val="single" w:sz="4" w:space="0" w:color="000000"/>
            </w:tcBorders>
            <w:vAlign w:val="center"/>
          </w:tcPr>
          <w:p w14:paraId="1214B112" w14:textId="7B06A20F"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250</w:t>
            </w:r>
          </w:p>
        </w:tc>
        <w:tc>
          <w:tcPr>
            <w:tcW w:w="718" w:type="dxa"/>
            <w:tcBorders>
              <w:top w:val="single" w:sz="4" w:space="0" w:color="000000"/>
              <w:left w:val="single" w:sz="4" w:space="0" w:color="000000"/>
              <w:bottom w:val="single" w:sz="4" w:space="0" w:color="000000"/>
              <w:right w:val="single" w:sz="4" w:space="0" w:color="000000"/>
            </w:tcBorders>
            <w:vAlign w:val="center"/>
          </w:tcPr>
          <w:p w14:paraId="3ED9C96B" w14:textId="663FB7D8"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UN</w:t>
            </w:r>
          </w:p>
        </w:tc>
        <w:tc>
          <w:tcPr>
            <w:tcW w:w="4495" w:type="dxa"/>
            <w:tcBorders>
              <w:top w:val="single" w:sz="4" w:space="0" w:color="000000"/>
              <w:left w:val="single" w:sz="4" w:space="0" w:color="000000"/>
              <w:bottom w:val="single" w:sz="4" w:space="0" w:color="000000"/>
              <w:right w:val="single" w:sz="4" w:space="0" w:color="000000"/>
            </w:tcBorders>
          </w:tcPr>
          <w:p w14:paraId="4410EB75" w14:textId="55DA010D" w:rsidR="00D94808" w:rsidRPr="00D94808" w:rsidRDefault="00D94808" w:rsidP="00D94808">
            <w:pPr>
              <w:pStyle w:val="TableParagraph"/>
              <w:ind w:left="107" w:right="98"/>
              <w:jc w:val="both"/>
              <w:rPr>
                <w:rFonts w:ascii="Arial Narrow" w:hAnsi="Arial Narrow" w:cs="Arial"/>
                <w:sz w:val="20"/>
                <w:szCs w:val="20"/>
              </w:rPr>
            </w:pPr>
            <w:r>
              <w:rPr>
                <w:rFonts w:ascii="Arial Narrow" w:hAnsi="Arial Narrow" w:cs="Calibri"/>
                <w:bCs/>
                <w:sz w:val="18"/>
                <w:szCs w:val="18"/>
                <w:lang w:eastAsia="pt-BR"/>
              </w:rPr>
              <w:t>Serviços de arbitragem na modalidade de bocha (individual, dupla e trio). Partida de no máximo 15 pontos.</w:t>
            </w:r>
          </w:p>
        </w:tc>
        <w:tc>
          <w:tcPr>
            <w:tcW w:w="1575" w:type="dxa"/>
            <w:tcBorders>
              <w:top w:val="single" w:sz="4" w:space="0" w:color="000000"/>
              <w:left w:val="single" w:sz="4" w:space="0" w:color="000000"/>
              <w:bottom w:val="single" w:sz="4" w:space="0" w:color="000000"/>
              <w:right w:val="single" w:sz="4" w:space="0" w:color="000000"/>
            </w:tcBorders>
            <w:vAlign w:val="center"/>
          </w:tcPr>
          <w:p w14:paraId="5825BC52" w14:textId="17305EBF"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300,00</w:t>
            </w:r>
          </w:p>
        </w:tc>
        <w:tc>
          <w:tcPr>
            <w:tcW w:w="1578" w:type="dxa"/>
            <w:tcBorders>
              <w:top w:val="single" w:sz="4" w:space="0" w:color="000000"/>
              <w:left w:val="single" w:sz="4" w:space="0" w:color="000000"/>
              <w:bottom w:val="single" w:sz="4" w:space="0" w:color="000000"/>
              <w:right w:val="single" w:sz="4" w:space="0" w:color="000000"/>
            </w:tcBorders>
            <w:vAlign w:val="center"/>
          </w:tcPr>
          <w:p w14:paraId="3AB6874E" w14:textId="57C9B865" w:rsidR="00D94808" w:rsidRPr="00D94808" w:rsidRDefault="00D94808" w:rsidP="00D94808">
            <w:pPr>
              <w:pStyle w:val="TableParagraph"/>
              <w:jc w:val="center"/>
              <w:rPr>
                <w:rFonts w:ascii="Arial Narrow" w:hAnsi="Arial Narrow" w:cs="Arial"/>
                <w:sz w:val="20"/>
                <w:szCs w:val="20"/>
              </w:rPr>
            </w:pPr>
            <w:r>
              <w:rPr>
                <w:rFonts w:ascii="Arial Narrow" w:hAnsi="Arial Narrow" w:cs="Arial"/>
                <w:sz w:val="20"/>
                <w:szCs w:val="20"/>
              </w:rPr>
              <w:t>75.000,00</w:t>
            </w:r>
          </w:p>
        </w:tc>
      </w:tr>
      <w:tr w:rsidR="00D94808" w:rsidRPr="00D94808" w14:paraId="4567E004" w14:textId="77777777" w:rsidTr="00D94808">
        <w:trPr>
          <w:trHeight w:val="283"/>
        </w:trPr>
        <w:tc>
          <w:tcPr>
            <w:tcW w:w="8337" w:type="dxa"/>
            <w:gridSpan w:val="5"/>
            <w:tcBorders>
              <w:top w:val="single" w:sz="4" w:space="0" w:color="000000"/>
              <w:left w:val="single" w:sz="4" w:space="0" w:color="000000"/>
              <w:bottom w:val="single" w:sz="4" w:space="0" w:color="000000"/>
              <w:right w:val="single" w:sz="4" w:space="0" w:color="000000"/>
            </w:tcBorders>
            <w:vAlign w:val="center"/>
            <w:hideMark/>
          </w:tcPr>
          <w:p w14:paraId="7BC5C1D3" w14:textId="77777777" w:rsidR="00D94808" w:rsidRPr="00D94808" w:rsidRDefault="00D94808" w:rsidP="00D94808">
            <w:pPr>
              <w:pStyle w:val="TableParagraph"/>
              <w:ind w:right="230"/>
              <w:jc w:val="right"/>
              <w:rPr>
                <w:rFonts w:ascii="Arial Narrow" w:hAnsi="Arial Narrow" w:cs="Arial"/>
                <w:b/>
                <w:bCs/>
                <w:sz w:val="20"/>
                <w:szCs w:val="20"/>
              </w:rPr>
            </w:pPr>
            <w:r w:rsidRPr="00D94808">
              <w:rPr>
                <w:rFonts w:ascii="Arial Narrow" w:hAnsi="Arial Narrow" w:cs="Arial"/>
                <w:b/>
                <w:bCs/>
                <w:sz w:val="20"/>
                <w:szCs w:val="20"/>
              </w:rPr>
              <w:t>TOTAL</w:t>
            </w:r>
          </w:p>
        </w:tc>
        <w:tc>
          <w:tcPr>
            <w:tcW w:w="1578" w:type="dxa"/>
            <w:tcBorders>
              <w:top w:val="single" w:sz="4" w:space="0" w:color="000000"/>
              <w:left w:val="single" w:sz="4" w:space="0" w:color="000000"/>
              <w:bottom w:val="single" w:sz="4" w:space="0" w:color="000000"/>
              <w:right w:val="single" w:sz="4" w:space="0" w:color="000000"/>
            </w:tcBorders>
            <w:vAlign w:val="center"/>
          </w:tcPr>
          <w:p w14:paraId="6CA9B3E9" w14:textId="60E654AB" w:rsidR="00D94808" w:rsidRPr="00D94808" w:rsidRDefault="00D94808" w:rsidP="00D94808">
            <w:pPr>
              <w:pStyle w:val="TableParagraph"/>
              <w:jc w:val="center"/>
              <w:rPr>
                <w:rFonts w:ascii="Arial Narrow" w:hAnsi="Arial Narrow" w:cs="Arial"/>
                <w:b/>
                <w:bCs/>
                <w:sz w:val="20"/>
                <w:szCs w:val="20"/>
              </w:rPr>
            </w:pPr>
            <w:r w:rsidRPr="00D94808">
              <w:rPr>
                <w:rFonts w:ascii="Arial Narrow" w:hAnsi="Arial Narrow" w:cs="Arial"/>
                <w:b/>
                <w:bCs/>
                <w:sz w:val="20"/>
                <w:szCs w:val="20"/>
              </w:rPr>
              <w:t>R$ 384.000,00</w:t>
            </w:r>
          </w:p>
        </w:tc>
      </w:tr>
    </w:tbl>
    <w:p w14:paraId="3D09C25C" w14:textId="77777777" w:rsidR="007E4BF9" w:rsidRDefault="007E4BF9" w:rsidP="007E4BF9">
      <w:pPr>
        <w:pStyle w:val="Corpodetexto"/>
        <w:ind w:left="502" w:right="120"/>
        <w:jc w:val="both"/>
        <w:rPr>
          <w:rFonts w:ascii="Arial Narrow" w:eastAsia="Arial MT" w:hAnsi="Arial Narrow" w:cs="Arial MT"/>
          <w:b/>
          <w:bCs/>
          <w:lang w:val="pt-PT" w:eastAsia="en-US"/>
        </w:rPr>
      </w:pPr>
    </w:p>
    <w:p w14:paraId="3A721325"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45555678" w14:textId="77777777" w:rsidR="007E4BF9" w:rsidRDefault="007E4BF9" w:rsidP="007E4BF9">
      <w:pPr>
        <w:pStyle w:val="Corpodetexto"/>
        <w:ind w:left="360" w:right="120"/>
        <w:jc w:val="both"/>
        <w:rPr>
          <w:rFonts w:ascii="Arial Narrow" w:hAnsi="Arial Narrow"/>
          <w:b/>
          <w:bCs/>
        </w:rPr>
      </w:pPr>
    </w:p>
    <w:p w14:paraId="75E3263D" w14:textId="77777777" w:rsidR="007E4BF9" w:rsidRDefault="007E4BF9" w:rsidP="007E4BF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263EDA8A" w14:textId="77777777" w:rsidR="007E4BF9" w:rsidRDefault="007E4BF9" w:rsidP="007E4BF9">
      <w:pPr>
        <w:pStyle w:val="Corpodetexto"/>
        <w:ind w:left="502" w:right="120"/>
        <w:jc w:val="both"/>
        <w:rPr>
          <w:rFonts w:ascii="Arial Narrow" w:hAnsi="Arial Narrow"/>
          <w:b/>
          <w:bCs/>
        </w:rPr>
      </w:pPr>
    </w:p>
    <w:p w14:paraId="545294A8" w14:textId="4A532CE1"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4C4694">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4C4694">
        <w:rPr>
          <w:rFonts w:ascii="Arial Narrow" w:hAnsi="Arial Narrow" w:cs="Arial"/>
        </w:rPr>
        <w:t>órgão requisitante</w:t>
      </w:r>
      <w:r>
        <w:rPr>
          <w:rFonts w:ascii="Arial Narrow" w:hAnsi="Arial Narrow" w:cs="Arial"/>
        </w:rPr>
        <w:t>.</w:t>
      </w:r>
    </w:p>
    <w:p w14:paraId="7F1DD788" w14:textId="77777777" w:rsidR="007E4BF9" w:rsidRDefault="007E4BF9" w:rsidP="007E4BF9">
      <w:pPr>
        <w:pStyle w:val="Corpodetexto"/>
        <w:ind w:left="567" w:right="120" w:hanging="425"/>
        <w:jc w:val="both"/>
        <w:rPr>
          <w:rFonts w:ascii="Arial Narrow" w:hAnsi="Arial Narrow"/>
          <w:b/>
          <w:bCs/>
        </w:rPr>
      </w:pPr>
    </w:p>
    <w:p w14:paraId="36E268D4"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26DC6090" w14:textId="77777777" w:rsidR="007E4BF9" w:rsidRDefault="007E4BF9" w:rsidP="007E4BF9">
      <w:pPr>
        <w:pStyle w:val="Corpodetexto"/>
        <w:ind w:left="567" w:right="120" w:hanging="425"/>
        <w:jc w:val="both"/>
        <w:rPr>
          <w:rFonts w:ascii="Arial Narrow" w:hAnsi="Arial Narrow"/>
          <w:b/>
          <w:bCs/>
        </w:rPr>
      </w:pPr>
    </w:p>
    <w:p w14:paraId="6F713C17"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661B3F01" w14:textId="77777777" w:rsidR="007E4BF9" w:rsidRDefault="007E4BF9" w:rsidP="007E4BF9">
      <w:pPr>
        <w:pStyle w:val="PargrafodaLista"/>
        <w:ind w:left="567" w:hanging="425"/>
        <w:rPr>
          <w:rFonts w:ascii="Arial Narrow" w:hAnsi="Arial Narrow" w:cs="Arial"/>
        </w:rPr>
      </w:pPr>
    </w:p>
    <w:p w14:paraId="3E4D04EC" w14:textId="2BFB919A"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4C4694">
        <w:rPr>
          <w:rFonts w:ascii="Arial Narrow" w:hAnsi="Arial Narrow" w:cs="Arial"/>
        </w:rPr>
        <w:t>ausentes</w:t>
      </w:r>
      <w:r>
        <w:rPr>
          <w:rFonts w:ascii="Arial Narrow" w:hAnsi="Arial Narrow" w:cs="Arial"/>
        </w:rPr>
        <w:t>.</w:t>
      </w:r>
    </w:p>
    <w:p w14:paraId="2BC2995E" w14:textId="77777777" w:rsidR="007E4BF9" w:rsidRDefault="007E4BF9" w:rsidP="007E4BF9">
      <w:pPr>
        <w:pStyle w:val="PargrafodaLista"/>
        <w:ind w:left="567" w:hanging="425"/>
        <w:rPr>
          <w:rFonts w:ascii="Arial Narrow" w:hAnsi="Arial Narrow" w:cs="Arial"/>
        </w:rPr>
      </w:pPr>
    </w:p>
    <w:p w14:paraId="63827780"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1F2F46DD" w14:textId="77777777" w:rsidR="007E4BF9" w:rsidRDefault="007E4BF9" w:rsidP="007E4BF9">
      <w:pPr>
        <w:pStyle w:val="PargrafodaLista"/>
        <w:ind w:left="567" w:hanging="425"/>
        <w:rPr>
          <w:rFonts w:ascii="Arial Narrow" w:hAnsi="Arial Narrow" w:cs="Arial"/>
        </w:rPr>
      </w:pPr>
    </w:p>
    <w:p w14:paraId="73BE4C32"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667E180B" w14:textId="77777777" w:rsidR="007E4BF9" w:rsidRDefault="007E4BF9" w:rsidP="007E4BF9">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0E6D3DD5" w14:textId="77777777" w:rsidR="007E4BF9" w:rsidRDefault="007E4BF9" w:rsidP="007E4BF9">
      <w:pPr>
        <w:tabs>
          <w:tab w:val="left" w:pos="966"/>
        </w:tabs>
        <w:ind w:left="567" w:right="110" w:hanging="425"/>
        <w:jc w:val="both"/>
        <w:rPr>
          <w:rFonts w:ascii="Arial Narrow" w:hAnsi="Arial Narrow" w:cs="Arial"/>
        </w:rPr>
      </w:pPr>
    </w:p>
    <w:p w14:paraId="0FE9D412"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18797927" w14:textId="77777777" w:rsidR="007E4BF9" w:rsidRDefault="007E4BF9" w:rsidP="007E4BF9">
      <w:pPr>
        <w:pStyle w:val="Corpodetexto"/>
        <w:ind w:left="567" w:right="120" w:hanging="425"/>
        <w:jc w:val="both"/>
        <w:rPr>
          <w:rFonts w:ascii="Arial Narrow" w:hAnsi="Arial Narrow"/>
          <w:b/>
          <w:bCs/>
        </w:rPr>
      </w:pPr>
    </w:p>
    <w:p w14:paraId="07299301"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lastRenderedPageBreak/>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60F94BED" w14:textId="77777777" w:rsidR="007E4BF9" w:rsidRDefault="007E4BF9" w:rsidP="007E4BF9">
      <w:pPr>
        <w:pStyle w:val="PargrafodaLista"/>
        <w:ind w:left="567" w:hanging="425"/>
        <w:rPr>
          <w:rFonts w:ascii="Arial Narrow" w:hAnsi="Arial Narrow" w:cs="Arial"/>
        </w:rPr>
      </w:pPr>
    </w:p>
    <w:p w14:paraId="56E2B6A3"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Municipal da Educação Cultura e Esportes, através do e-mail: sec.edu@aguadoce.sc.gov.br, para conferência, com cópia para o Departamento de Compras, Licitações, Convênios e Contratos, através do e-mail: nfe@aguadoce.sc.gov.br.</w:t>
      </w:r>
    </w:p>
    <w:p w14:paraId="52856880" w14:textId="77777777" w:rsidR="007E4BF9" w:rsidRDefault="007E4BF9" w:rsidP="007E4BF9">
      <w:pPr>
        <w:pStyle w:val="PargrafodaLista"/>
        <w:ind w:left="567" w:hanging="425"/>
        <w:rPr>
          <w:rFonts w:ascii="Arial Narrow" w:hAnsi="Arial Narrow" w:cs="Arial"/>
        </w:rPr>
      </w:pPr>
    </w:p>
    <w:p w14:paraId="6306D5CF"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184541D7" w14:textId="77777777" w:rsidR="007E4BF9" w:rsidRDefault="007E4BF9" w:rsidP="007E4BF9">
      <w:pPr>
        <w:pStyle w:val="PargrafodaLista"/>
        <w:ind w:left="567" w:hanging="425"/>
        <w:rPr>
          <w:rFonts w:ascii="Arial Narrow" w:hAnsi="Arial Narrow" w:cs="Arial"/>
        </w:rPr>
      </w:pPr>
    </w:p>
    <w:p w14:paraId="33FB8E34"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548B241A" w14:textId="77777777" w:rsidR="007E4BF9" w:rsidRDefault="007E4BF9" w:rsidP="007E4BF9">
      <w:pPr>
        <w:pStyle w:val="PargrafodaLista"/>
        <w:ind w:left="567" w:hanging="425"/>
        <w:rPr>
          <w:rFonts w:ascii="Arial Narrow" w:hAnsi="Arial Narrow" w:cs="Arial"/>
        </w:rPr>
      </w:pPr>
    </w:p>
    <w:p w14:paraId="78F4D0A9"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62F5CDB7" w14:textId="77777777" w:rsidR="007E4BF9" w:rsidRDefault="007E4BF9" w:rsidP="007E4BF9">
      <w:pPr>
        <w:pStyle w:val="Corpodetexto"/>
        <w:ind w:right="120"/>
        <w:jc w:val="both"/>
        <w:rPr>
          <w:rFonts w:ascii="Arial Narrow" w:hAnsi="Arial Narrow"/>
          <w:b/>
          <w:bCs/>
        </w:rPr>
      </w:pPr>
    </w:p>
    <w:p w14:paraId="0AE1DC18"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15C54CCD" w14:textId="77777777" w:rsidR="007E4BF9" w:rsidRDefault="007E4BF9" w:rsidP="007E4BF9">
      <w:pPr>
        <w:pStyle w:val="Corpodetexto"/>
        <w:ind w:right="120"/>
        <w:jc w:val="both"/>
        <w:rPr>
          <w:rFonts w:ascii="Arial Narrow" w:hAnsi="Arial Narrow"/>
          <w:b/>
          <w:bCs/>
        </w:rPr>
      </w:pPr>
    </w:p>
    <w:p w14:paraId="4D202445" w14:textId="77777777" w:rsidR="007E4BF9" w:rsidRDefault="007E4BF9" w:rsidP="007E4BF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651C5610" w14:textId="77777777" w:rsidR="007E4BF9" w:rsidRDefault="007E4BF9" w:rsidP="007E4BF9">
      <w:pPr>
        <w:pStyle w:val="Corpodetexto"/>
        <w:ind w:left="502" w:right="120"/>
        <w:jc w:val="both"/>
        <w:rPr>
          <w:rFonts w:ascii="Arial Narrow" w:hAnsi="Arial Narrow"/>
          <w:b/>
          <w:bCs/>
        </w:rPr>
      </w:pPr>
    </w:p>
    <w:p w14:paraId="0B1E8C57"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2DFAA7FE" w14:textId="77777777" w:rsidR="007E4BF9" w:rsidRDefault="007E4BF9" w:rsidP="007E4BF9">
      <w:pPr>
        <w:pStyle w:val="Corpodetexto"/>
        <w:ind w:right="120"/>
        <w:jc w:val="both"/>
        <w:rPr>
          <w:rFonts w:ascii="Arial Narrow" w:hAnsi="Arial Narrow"/>
          <w:b/>
          <w:bCs/>
        </w:rPr>
      </w:pPr>
    </w:p>
    <w:p w14:paraId="040B9292"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4B028F9B" w14:textId="77777777" w:rsidR="007E4BF9" w:rsidRDefault="007E4BF9" w:rsidP="007E4BF9">
      <w:pPr>
        <w:pStyle w:val="Corpodetexto"/>
        <w:ind w:left="502" w:right="120"/>
        <w:jc w:val="both"/>
        <w:rPr>
          <w:rFonts w:ascii="Arial Narrow" w:hAnsi="Arial Narrow"/>
          <w:b/>
          <w:bCs/>
        </w:rPr>
      </w:pPr>
    </w:p>
    <w:p w14:paraId="3C4BF95D"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49AA2646" w14:textId="77777777" w:rsidR="007E4BF9" w:rsidRDefault="007E4BF9" w:rsidP="007E4BF9">
      <w:pPr>
        <w:pStyle w:val="PargrafodaLista"/>
        <w:rPr>
          <w:rFonts w:ascii="Arial Narrow" w:hAnsi="Arial Narrow"/>
          <w:b/>
          <w:bCs/>
        </w:rPr>
      </w:pPr>
    </w:p>
    <w:p w14:paraId="1F8B1BD4" w14:textId="77777777" w:rsidR="007E4BF9" w:rsidRDefault="007E4BF9" w:rsidP="007E4BF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36B76A09" w14:textId="77777777" w:rsidR="007E4BF9" w:rsidRDefault="007E4BF9" w:rsidP="007E4BF9">
      <w:pPr>
        <w:pStyle w:val="Corpodetexto"/>
        <w:ind w:right="120"/>
        <w:jc w:val="both"/>
        <w:rPr>
          <w:rFonts w:ascii="Arial Narrow" w:hAnsi="Arial Narrow"/>
          <w:b/>
          <w:bCs/>
        </w:rPr>
      </w:pPr>
    </w:p>
    <w:p w14:paraId="356BA2D4"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7D526465" w14:textId="77777777" w:rsidR="007E4BF9" w:rsidRDefault="007E4BF9" w:rsidP="007E4BF9">
      <w:pPr>
        <w:pStyle w:val="Corpodetexto"/>
        <w:ind w:left="360" w:right="120"/>
        <w:jc w:val="both"/>
        <w:rPr>
          <w:rFonts w:ascii="Arial Narrow" w:hAnsi="Arial Narrow"/>
          <w:b/>
          <w:bCs/>
        </w:rPr>
      </w:pPr>
    </w:p>
    <w:p w14:paraId="5CE27E89" w14:textId="77777777" w:rsidR="007E4BF9" w:rsidRDefault="007E4BF9" w:rsidP="007E4BF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781D33BE" w14:textId="77777777" w:rsidR="007E4BF9" w:rsidRDefault="007E4BF9" w:rsidP="007E4BF9">
      <w:pPr>
        <w:pStyle w:val="Corpodetexto"/>
        <w:ind w:left="502" w:right="120"/>
        <w:jc w:val="both"/>
        <w:rPr>
          <w:rFonts w:ascii="Arial Narrow" w:hAnsi="Arial Narrow"/>
          <w:b/>
          <w:bCs/>
        </w:rPr>
      </w:pPr>
    </w:p>
    <w:p w14:paraId="13570865" w14:textId="2F85FDD8"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sidR="004C4694">
        <w:rPr>
          <w:rFonts w:ascii="Arial Narrow" w:hAnsi="Arial Narrow" w:cs="Arial"/>
        </w:rPr>
        <w:t>Órgão</w:t>
      </w:r>
      <w:r>
        <w:rPr>
          <w:rFonts w:ascii="Arial Narrow" w:hAnsi="Arial Narrow" w:cs="Arial"/>
        </w:rPr>
        <w:t xml:space="preserve"> Gerenciador, através do(a) </w:t>
      </w:r>
      <w:proofErr w:type="spellStart"/>
      <w:r>
        <w:rPr>
          <w:rFonts w:ascii="Arial Narrow" w:hAnsi="Arial Narrow" w:cs="Arial"/>
        </w:rPr>
        <w:t>Sr</w:t>
      </w:r>
      <w:proofErr w:type="spellEnd"/>
      <w:r>
        <w:rPr>
          <w:rFonts w:ascii="Arial Narrow" w:hAnsi="Arial Narrow" w:cs="Arial"/>
        </w:rPr>
        <w:t xml:space="preserve">(a). Edmar </w:t>
      </w:r>
      <w:proofErr w:type="spellStart"/>
      <w:r>
        <w:rPr>
          <w:rFonts w:ascii="Arial Narrow" w:hAnsi="Arial Narrow" w:cs="Arial"/>
        </w:rPr>
        <w:t>Bráz</w:t>
      </w:r>
      <w:proofErr w:type="spellEnd"/>
      <w:r>
        <w:rPr>
          <w:rFonts w:ascii="Arial Narrow" w:hAnsi="Arial Narrow" w:cs="Arial"/>
        </w:rPr>
        <w:t xml:space="preserve"> </w:t>
      </w:r>
      <w:proofErr w:type="spellStart"/>
      <w:r>
        <w:rPr>
          <w:rFonts w:ascii="Arial Narrow" w:hAnsi="Arial Narrow" w:cs="Arial"/>
        </w:rPr>
        <w:t>Lucian</w:t>
      </w:r>
      <w:proofErr w:type="spellEnd"/>
      <w:r>
        <w:rPr>
          <w:rFonts w:ascii="Arial Narrow" w:hAnsi="Arial Narrow" w:cs="Arial"/>
        </w:rPr>
        <w:t>, que acompanhará e fiscalizará a prestação dos serviços, anotando em registro próprio todas as ocorrências relacionadas com a execução e determinando o que for necessário à regularização de falhas ou defeitos observados.</w:t>
      </w:r>
    </w:p>
    <w:p w14:paraId="0CE9D4A6" w14:textId="77777777" w:rsidR="007E4BF9" w:rsidRDefault="007E4BF9" w:rsidP="007E4BF9">
      <w:pPr>
        <w:pStyle w:val="Corpodetexto"/>
        <w:ind w:left="502" w:right="120"/>
        <w:jc w:val="both"/>
        <w:rPr>
          <w:rFonts w:ascii="Arial Narrow" w:hAnsi="Arial Narrow"/>
          <w:b/>
          <w:bCs/>
        </w:rPr>
      </w:pPr>
    </w:p>
    <w:p w14:paraId="018FA280"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7E59B2D5" w14:textId="77777777" w:rsidR="007E4BF9" w:rsidRDefault="007E4BF9" w:rsidP="007E4BF9">
      <w:pPr>
        <w:pStyle w:val="PargrafodaLista"/>
        <w:rPr>
          <w:rFonts w:ascii="Arial Narrow" w:hAnsi="Arial Narrow"/>
          <w:b/>
          <w:bCs/>
        </w:rPr>
      </w:pPr>
    </w:p>
    <w:p w14:paraId="522E8745"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w:t>
      </w:r>
      <w:r>
        <w:rPr>
          <w:rFonts w:ascii="Arial Narrow" w:hAnsi="Arial Narrow" w:cs="Arial"/>
        </w:rPr>
        <w:lastRenderedPageBreak/>
        <w:t>competente para as providências cabíveis.</w:t>
      </w:r>
    </w:p>
    <w:p w14:paraId="5E084B0A" w14:textId="77777777" w:rsidR="007E4BF9" w:rsidRDefault="007E4BF9" w:rsidP="007E4BF9">
      <w:pPr>
        <w:pStyle w:val="PargrafodaLista"/>
        <w:rPr>
          <w:rFonts w:ascii="Arial Narrow" w:hAnsi="Arial Narrow"/>
          <w:b/>
          <w:bCs/>
        </w:rPr>
      </w:pPr>
    </w:p>
    <w:p w14:paraId="7F33AAD3"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7C2D6BF1" w14:textId="77777777" w:rsidR="007E4BF9" w:rsidRDefault="007E4BF9" w:rsidP="007E4BF9">
      <w:pPr>
        <w:pStyle w:val="PargrafodaLista"/>
        <w:rPr>
          <w:rFonts w:ascii="Arial Narrow" w:hAnsi="Arial Narrow"/>
          <w:b/>
          <w:bCs/>
        </w:rPr>
      </w:pPr>
    </w:p>
    <w:p w14:paraId="7592F02A"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21145F97" w14:textId="77777777" w:rsidR="007E4BF9" w:rsidRDefault="007E4BF9" w:rsidP="007E4BF9">
      <w:pPr>
        <w:pStyle w:val="PargrafodaLista"/>
        <w:rPr>
          <w:rFonts w:ascii="Arial Narrow" w:hAnsi="Arial Narrow"/>
          <w:b/>
          <w:bCs/>
        </w:rPr>
      </w:pPr>
    </w:p>
    <w:p w14:paraId="25A3DFBA" w14:textId="77777777" w:rsidR="007E4BF9" w:rsidRDefault="007E4BF9" w:rsidP="007E4BF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1ACA9B12" w14:textId="77777777" w:rsidR="007E4BF9" w:rsidRDefault="007E4BF9" w:rsidP="007E4BF9">
      <w:pPr>
        <w:pStyle w:val="Corpodetexto"/>
        <w:ind w:left="1004" w:right="120"/>
        <w:jc w:val="both"/>
        <w:rPr>
          <w:rFonts w:ascii="Arial Narrow" w:hAnsi="Arial Narrow"/>
          <w:b/>
          <w:bCs/>
        </w:rPr>
      </w:pPr>
    </w:p>
    <w:p w14:paraId="69ABB35D"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7B0CEEF8" w14:textId="77777777" w:rsidR="007E4BF9" w:rsidRDefault="007E4BF9" w:rsidP="007E4BF9">
      <w:pPr>
        <w:pStyle w:val="Corpodetexto"/>
        <w:ind w:left="1004" w:right="120"/>
        <w:jc w:val="both"/>
        <w:rPr>
          <w:rFonts w:ascii="Arial Narrow" w:hAnsi="Arial Narrow"/>
          <w:b/>
          <w:bCs/>
        </w:rPr>
      </w:pPr>
    </w:p>
    <w:p w14:paraId="3A38876C" w14:textId="77777777" w:rsidR="007E4BF9" w:rsidRDefault="007E4BF9" w:rsidP="007E4BF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25B0004B" w14:textId="77777777" w:rsidR="007E4BF9" w:rsidRDefault="007E4BF9" w:rsidP="007E4BF9">
      <w:pPr>
        <w:pStyle w:val="Corpodetexto"/>
        <w:ind w:left="502" w:right="120"/>
        <w:jc w:val="both"/>
        <w:rPr>
          <w:rFonts w:ascii="Arial Narrow" w:hAnsi="Arial Narrow"/>
          <w:b/>
          <w:bCs/>
        </w:rPr>
      </w:pPr>
    </w:p>
    <w:p w14:paraId="6C0810B7"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0C7623A9" w14:textId="77777777" w:rsidR="007E4BF9" w:rsidRDefault="007E4BF9" w:rsidP="007E4BF9">
      <w:pPr>
        <w:pStyle w:val="Corpodetexto"/>
        <w:ind w:left="1004" w:right="120"/>
        <w:jc w:val="both"/>
        <w:rPr>
          <w:rFonts w:ascii="Arial Narrow" w:hAnsi="Arial Narrow"/>
          <w:b/>
          <w:bCs/>
        </w:rPr>
      </w:pPr>
    </w:p>
    <w:p w14:paraId="2B42C284"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3B2D1DAA" w14:textId="77777777" w:rsidR="007E4BF9" w:rsidRDefault="007E4BF9" w:rsidP="007E4BF9">
      <w:pPr>
        <w:pStyle w:val="Corpodetexto"/>
        <w:ind w:left="1004" w:right="120"/>
        <w:jc w:val="both"/>
        <w:rPr>
          <w:rFonts w:ascii="Arial Narrow" w:hAnsi="Arial Narrow"/>
          <w:b/>
          <w:bCs/>
        </w:rPr>
      </w:pPr>
    </w:p>
    <w:p w14:paraId="4CD7E92F"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12199588" w14:textId="77777777" w:rsidR="007E4BF9" w:rsidRDefault="007E4BF9" w:rsidP="007E4BF9">
      <w:pPr>
        <w:pStyle w:val="PargrafodaLista"/>
        <w:rPr>
          <w:rFonts w:ascii="Arial Narrow" w:hAnsi="Arial Narrow" w:cs="Arial"/>
        </w:rPr>
      </w:pPr>
    </w:p>
    <w:p w14:paraId="7A8A33A2"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22EBB4A8" w14:textId="77777777" w:rsidR="007E4BF9" w:rsidRDefault="007E4BF9" w:rsidP="007E4BF9">
      <w:pPr>
        <w:pStyle w:val="PargrafodaLista"/>
        <w:rPr>
          <w:rFonts w:ascii="Arial Narrow" w:hAnsi="Arial Narrow" w:cs="Arial"/>
        </w:rPr>
      </w:pPr>
    </w:p>
    <w:p w14:paraId="477E4C99"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534D72EE" w14:textId="77777777" w:rsidR="007E4BF9" w:rsidRDefault="007E4BF9" w:rsidP="007E4BF9">
      <w:pPr>
        <w:rPr>
          <w:rFonts w:ascii="Arial Narrow" w:hAnsi="Arial Narrow"/>
          <w:b/>
          <w:bCs/>
        </w:rPr>
      </w:pPr>
    </w:p>
    <w:p w14:paraId="5D3EFD22"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5481F809" w14:textId="77777777" w:rsidR="007E4BF9" w:rsidRDefault="007E4BF9" w:rsidP="007E4BF9">
      <w:pPr>
        <w:pStyle w:val="PargrafodaLista"/>
        <w:rPr>
          <w:rFonts w:ascii="Arial Narrow" w:hAnsi="Arial Narrow"/>
          <w:b/>
          <w:bCs/>
        </w:rPr>
      </w:pPr>
    </w:p>
    <w:p w14:paraId="191566AF"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65111340" w14:textId="77777777" w:rsidR="007E4BF9" w:rsidRDefault="007E4BF9" w:rsidP="007E4BF9">
      <w:pPr>
        <w:pStyle w:val="PargrafodaLista"/>
        <w:rPr>
          <w:rFonts w:ascii="Arial Narrow" w:hAnsi="Arial Narrow"/>
          <w:b/>
          <w:bCs/>
        </w:rPr>
      </w:pPr>
    </w:p>
    <w:p w14:paraId="5B1C699F"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6C0CDDC3" w14:textId="77777777" w:rsidR="007E4BF9" w:rsidRDefault="007E4BF9" w:rsidP="007E4BF9">
      <w:pPr>
        <w:pStyle w:val="PargrafodaLista"/>
        <w:rPr>
          <w:rFonts w:ascii="Arial Narrow" w:hAnsi="Arial Narrow"/>
          <w:b/>
          <w:bCs/>
        </w:rPr>
      </w:pPr>
    </w:p>
    <w:p w14:paraId="44A47C59" w14:textId="51172263" w:rsidR="007E4BF9" w:rsidRDefault="007E4BF9" w:rsidP="007E4BF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4C4694">
        <w:rPr>
          <w:rFonts w:ascii="Arial Narrow" w:hAnsi="Arial Narrow" w:cs="Arial"/>
        </w:rPr>
        <w:t>as condições</w:t>
      </w:r>
      <w:r>
        <w:rPr>
          <w:rFonts w:ascii="Arial Narrow" w:hAnsi="Arial Narrow" w:cs="Arial"/>
        </w:rPr>
        <w:t xml:space="preserve"> de habilitação e qualificação exigidas na licitação;</w:t>
      </w:r>
    </w:p>
    <w:p w14:paraId="75433B92" w14:textId="77777777" w:rsidR="007E4BF9" w:rsidRDefault="007E4BF9" w:rsidP="007E4BF9">
      <w:pPr>
        <w:pStyle w:val="PargrafodaLista"/>
        <w:rPr>
          <w:rFonts w:ascii="Arial Narrow" w:hAnsi="Arial Narrow" w:cs="Arial"/>
        </w:rPr>
      </w:pPr>
    </w:p>
    <w:p w14:paraId="2F5136B1"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59ABF872" w14:textId="77777777" w:rsidR="007E4BF9" w:rsidRDefault="007E4BF9" w:rsidP="007E4BF9">
      <w:pPr>
        <w:pStyle w:val="PargrafodaLista"/>
        <w:rPr>
          <w:rFonts w:ascii="Arial Narrow" w:hAnsi="Arial Narrow" w:cs="Arial"/>
        </w:rPr>
      </w:pPr>
    </w:p>
    <w:p w14:paraId="35670694"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4C743B73" w14:textId="77777777" w:rsidR="007E4BF9" w:rsidRDefault="007E4BF9" w:rsidP="007E4BF9">
      <w:pPr>
        <w:pStyle w:val="PargrafodaLista"/>
        <w:rPr>
          <w:rFonts w:ascii="Arial Narrow" w:hAnsi="Arial Narrow" w:cs="Arial"/>
        </w:rPr>
      </w:pPr>
    </w:p>
    <w:p w14:paraId="221982E5"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7BF560B" w14:textId="77777777" w:rsidR="007E4BF9" w:rsidRDefault="007E4BF9" w:rsidP="007E4BF9">
      <w:pPr>
        <w:pStyle w:val="PargrafodaLista"/>
        <w:tabs>
          <w:tab w:val="left" w:pos="834"/>
        </w:tabs>
        <w:ind w:left="833" w:firstLine="0"/>
        <w:rPr>
          <w:rFonts w:ascii="Arial Narrow" w:hAnsi="Arial Narrow" w:cs="Arial"/>
        </w:rPr>
      </w:pPr>
    </w:p>
    <w:p w14:paraId="1254CF72"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5AA70E05" w14:textId="77777777" w:rsidR="007E4BF9" w:rsidRDefault="007E4BF9" w:rsidP="007E4BF9">
      <w:pPr>
        <w:pStyle w:val="PargrafodaLista"/>
        <w:rPr>
          <w:rFonts w:ascii="Arial Narrow" w:hAnsi="Arial Narrow" w:cs="Arial"/>
        </w:rPr>
      </w:pPr>
    </w:p>
    <w:p w14:paraId="55D1CC34"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6C93C06D" w14:textId="77777777" w:rsidR="007E4BF9" w:rsidRDefault="007E4BF9" w:rsidP="007E4BF9">
      <w:pPr>
        <w:pStyle w:val="PargrafodaLista"/>
        <w:rPr>
          <w:rFonts w:ascii="Arial Narrow" w:hAnsi="Arial Narrow" w:cs="Arial"/>
        </w:rPr>
      </w:pPr>
    </w:p>
    <w:p w14:paraId="7B4A181F"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648C4749" w14:textId="77777777" w:rsidR="007E4BF9" w:rsidRDefault="007E4BF9" w:rsidP="007E4BF9">
      <w:pPr>
        <w:pStyle w:val="PargrafodaLista"/>
        <w:rPr>
          <w:rFonts w:ascii="Arial Narrow" w:hAnsi="Arial Narrow" w:cs="Arial"/>
        </w:rPr>
      </w:pPr>
    </w:p>
    <w:p w14:paraId="74979641"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766C3A8A" w14:textId="77777777" w:rsidR="007E4BF9" w:rsidRDefault="007E4BF9" w:rsidP="007E4BF9">
      <w:pPr>
        <w:pStyle w:val="PargrafodaLista"/>
        <w:rPr>
          <w:rFonts w:ascii="Arial Narrow" w:hAnsi="Arial Narrow" w:cs="Arial"/>
        </w:rPr>
      </w:pPr>
    </w:p>
    <w:p w14:paraId="310EB4F2"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1C4088A6" w14:textId="77777777" w:rsidR="007E4BF9" w:rsidRDefault="007E4BF9" w:rsidP="007E4BF9">
      <w:pPr>
        <w:pStyle w:val="PargrafodaLista"/>
        <w:tabs>
          <w:tab w:val="left" w:pos="834"/>
        </w:tabs>
        <w:ind w:left="833" w:right="122" w:firstLine="0"/>
        <w:rPr>
          <w:rFonts w:ascii="Arial Narrow" w:hAnsi="Arial Narrow" w:cs="Arial"/>
        </w:rPr>
      </w:pPr>
    </w:p>
    <w:p w14:paraId="72C70EE2"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5992F859" w14:textId="77777777" w:rsidR="007E4BF9" w:rsidRDefault="007E4BF9" w:rsidP="007E4BF9">
      <w:pPr>
        <w:pStyle w:val="PargrafodaLista"/>
        <w:rPr>
          <w:rFonts w:ascii="Arial Narrow" w:hAnsi="Arial Narrow"/>
          <w:b/>
          <w:bCs/>
        </w:rPr>
      </w:pPr>
    </w:p>
    <w:p w14:paraId="764E5F19"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37A32A15" w14:textId="77777777" w:rsidR="007E4BF9" w:rsidRDefault="007E4BF9" w:rsidP="007E4BF9">
      <w:pPr>
        <w:pStyle w:val="PargrafodaLista"/>
        <w:rPr>
          <w:rFonts w:ascii="Arial Narrow" w:hAnsi="Arial Narrow"/>
          <w:b/>
          <w:bCs/>
        </w:rPr>
      </w:pPr>
    </w:p>
    <w:p w14:paraId="099245F8"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Atender os critérios dos orgãos regulamentadores de produtos e serviços.</w:t>
      </w:r>
    </w:p>
    <w:p w14:paraId="4B92E281" w14:textId="77777777" w:rsidR="007E4BF9" w:rsidRDefault="007E4BF9" w:rsidP="007E4BF9">
      <w:pPr>
        <w:pStyle w:val="PargrafodaLista"/>
        <w:rPr>
          <w:rFonts w:ascii="Arial Narrow" w:hAnsi="Arial Narrow"/>
          <w:b/>
          <w:bCs/>
        </w:rPr>
      </w:pPr>
    </w:p>
    <w:p w14:paraId="5D085D88"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24F90F1D" w14:textId="77777777" w:rsidR="007E4BF9" w:rsidRDefault="007E4BF9" w:rsidP="007E4BF9">
      <w:pPr>
        <w:pStyle w:val="Corpodetexto"/>
        <w:ind w:left="502" w:right="120"/>
        <w:jc w:val="both"/>
        <w:rPr>
          <w:rFonts w:ascii="Arial Narrow" w:hAnsi="Arial Narrow"/>
          <w:b/>
          <w:bCs/>
        </w:rPr>
      </w:pPr>
    </w:p>
    <w:p w14:paraId="01C583CF"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115E5F7D" w14:textId="77777777" w:rsidR="007E4BF9" w:rsidRDefault="007E4BF9" w:rsidP="007E4BF9">
      <w:pPr>
        <w:pStyle w:val="Corpodetexto"/>
        <w:ind w:left="502" w:right="120"/>
        <w:jc w:val="both"/>
        <w:rPr>
          <w:rFonts w:ascii="Arial Narrow" w:hAnsi="Arial Narrow"/>
        </w:rPr>
      </w:pPr>
    </w:p>
    <w:p w14:paraId="6C81F63B"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50D032A3" w14:textId="77777777" w:rsidR="007E4BF9" w:rsidRDefault="007E4BF9" w:rsidP="007E4BF9">
      <w:pPr>
        <w:pStyle w:val="Corpodetexto"/>
        <w:ind w:left="502" w:right="120"/>
        <w:jc w:val="both"/>
        <w:rPr>
          <w:rFonts w:ascii="Arial Narrow" w:hAnsi="Arial Narrow"/>
        </w:rPr>
      </w:pPr>
    </w:p>
    <w:p w14:paraId="5E338522"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79875518" w14:textId="77777777" w:rsidR="007E4BF9" w:rsidRDefault="007E4BF9" w:rsidP="007E4BF9">
      <w:pPr>
        <w:pStyle w:val="Corpodetexto"/>
        <w:ind w:left="502" w:right="120"/>
        <w:jc w:val="both"/>
        <w:rPr>
          <w:rFonts w:ascii="Arial Narrow" w:hAnsi="Arial Narrow"/>
        </w:rPr>
      </w:pPr>
    </w:p>
    <w:p w14:paraId="57D88190"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27EF574B" w14:textId="77777777" w:rsidR="007E4BF9" w:rsidRDefault="007E4BF9" w:rsidP="007E4BF9">
      <w:pPr>
        <w:pStyle w:val="Corpodetexto"/>
        <w:ind w:left="502" w:right="120"/>
        <w:jc w:val="both"/>
        <w:rPr>
          <w:rFonts w:ascii="Arial Narrow" w:hAnsi="Arial Narrow"/>
        </w:rPr>
      </w:pPr>
    </w:p>
    <w:p w14:paraId="23F493E4"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78DA5BC7" w14:textId="77777777" w:rsidR="007E4BF9" w:rsidRDefault="007E4BF9" w:rsidP="007E4BF9">
      <w:pPr>
        <w:pStyle w:val="Corpodetexto"/>
        <w:ind w:left="502" w:right="120"/>
        <w:jc w:val="both"/>
        <w:rPr>
          <w:rFonts w:ascii="Arial Narrow" w:hAnsi="Arial Narrow"/>
        </w:rPr>
      </w:pPr>
    </w:p>
    <w:p w14:paraId="6BFFEC35" w14:textId="57225B0F" w:rsidR="007E4BF9" w:rsidRDefault="007E4BF9" w:rsidP="007E4BF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4C4694">
        <w:rPr>
          <w:rFonts w:ascii="Arial Narrow" w:hAnsi="Arial Narrow"/>
        </w:rPr>
        <w:t>ou subordinados</w:t>
      </w:r>
      <w:r>
        <w:rPr>
          <w:rFonts w:ascii="Arial Narrow" w:hAnsi="Arial Narrow"/>
        </w:rPr>
        <w:t>;</w:t>
      </w:r>
    </w:p>
    <w:p w14:paraId="5415A477" w14:textId="77777777" w:rsidR="007E4BF9" w:rsidRDefault="007E4BF9" w:rsidP="007E4BF9">
      <w:pPr>
        <w:pStyle w:val="Corpodetexto"/>
        <w:ind w:left="502" w:right="120"/>
        <w:jc w:val="both"/>
        <w:rPr>
          <w:rFonts w:ascii="Arial Narrow" w:hAnsi="Arial Narrow"/>
        </w:rPr>
      </w:pPr>
    </w:p>
    <w:p w14:paraId="5D5342C5"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5E355BBA" w14:textId="77777777" w:rsidR="007E4BF9" w:rsidRDefault="007E4BF9" w:rsidP="007E4BF9">
      <w:pPr>
        <w:pStyle w:val="PargrafodaLista"/>
        <w:rPr>
          <w:rFonts w:ascii="Arial Narrow" w:hAnsi="Arial Narrow"/>
        </w:rPr>
      </w:pPr>
    </w:p>
    <w:p w14:paraId="400CD872"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47D85A24" w14:textId="77777777" w:rsidR="007E4BF9" w:rsidRDefault="007E4BF9" w:rsidP="007E4BF9">
      <w:pPr>
        <w:pStyle w:val="PargrafodaLista"/>
        <w:rPr>
          <w:rFonts w:ascii="Arial Narrow" w:hAnsi="Arial Narrow"/>
        </w:rPr>
      </w:pPr>
    </w:p>
    <w:p w14:paraId="5206F0EB" w14:textId="77777777" w:rsidR="007E4BF9" w:rsidRDefault="007E4BF9" w:rsidP="007E4BF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6F55390A" w14:textId="77777777" w:rsidR="007E4BF9" w:rsidRDefault="007E4BF9" w:rsidP="007E4BF9">
      <w:pPr>
        <w:pStyle w:val="PargrafodaLista"/>
        <w:rPr>
          <w:rFonts w:ascii="Arial Narrow" w:hAnsi="Arial Narrow"/>
        </w:rPr>
      </w:pPr>
    </w:p>
    <w:p w14:paraId="337A3463" w14:textId="77777777" w:rsidR="007E4BF9" w:rsidRDefault="007E4BF9" w:rsidP="007E4BF9">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lastRenderedPageBreak/>
        <w:t>DO CANCELAMENTO</w:t>
      </w:r>
    </w:p>
    <w:p w14:paraId="72388843" w14:textId="77777777" w:rsidR="007E4BF9" w:rsidRDefault="007E4BF9" w:rsidP="007E4BF9">
      <w:pPr>
        <w:pStyle w:val="Corpodetexto"/>
        <w:ind w:left="360" w:right="120"/>
        <w:jc w:val="both"/>
        <w:rPr>
          <w:rFonts w:ascii="Arial Narrow" w:hAnsi="Arial Narrow"/>
          <w:b/>
          <w:bCs/>
        </w:rPr>
      </w:pPr>
    </w:p>
    <w:p w14:paraId="7DD06B6C"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3FB5FC74" w14:textId="77777777" w:rsidR="007E4BF9" w:rsidRDefault="007E4BF9" w:rsidP="007E4BF9">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43A2CF79" w14:textId="77777777" w:rsidR="007E4BF9" w:rsidRDefault="007E4BF9" w:rsidP="007E4BF9">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57FE2CEC" w14:textId="77777777" w:rsidR="007E4BF9" w:rsidRDefault="007E4BF9" w:rsidP="007E4BF9">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4D0E3D04" w14:textId="77777777" w:rsidR="007E4BF9" w:rsidRDefault="007E4BF9" w:rsidP="007E4BF9">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36478FC8" w14:textId="77777777" w:rsidR="007E4BF9" w:rsidRDefault="007E4BF9" w:rsidP="007E4BF9">
      <w:pPr>
        <w:pStyle w:val="Corpodetexto"/>
        <w:ind w:left="502" w:right="120"/>
        <w:jc w:val="both"/>
        <w:rPr>
          <w:rFonts w:ascii="Arial Narrow" w:hAnsi="Arial Narrow"/>
          <w:b/>
          <w:bCs/>
        </w:rPr>
      </w:pPr>
    </w:p>
    <w:p w14:paraId="7263B083"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75778F04" w14:textId="77777777" w:rsidR="007E4BF9" w:rsidRDefault="007E4BF9" w:rsidP="007E4BF9">
      <w:pPr>
        <w:pStyle w:val="Corpodetexto"/>
        <w:ind w:left="709" w:right="120"/>
        <w:jc w:val="both"/>
        <w:rPr>
          <w:rFonts w:ascii="Arial Narrow" w:hAnsi="Arial Narrow"/>
          <w:b/>
          <w:bCs/>
        </w:rPr>
      </w:pPr>
    </w:p>
    <w:p w14:paraId="06B68F5B"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4A65620" w14:textId="77777777" w:rsidR="007E4BF9" w:rsidRDefault="007E4BF9" w:rsidP="007E4BF9">
      <w:pPr>
        <w:pStyle w:val="PargrafodaLista"/>
        <w:numPr>
          <w:ilvl w:val="4"/>
          <w:numId w:val="18"/>
        </w:numPr>
        <w:rPr>
          <w:rFonts w:ascii="Arial Narrow" w:hAnsi="Arial Narrow"/>
          <w:b/>
          <w:bCs/>
        </w:rPr>
      </w:pPr>
      <w:r>
        <w:rPr>
          <w:rFonts w:ascii="Arial Narrow" w:hAnsi="Arial Narrow"/>
        </w:rPr>
        <w:t>Por razão de interesse público; ou</w:t>
      </w:r>
    </w:p>
    <w:p w14:paraId="1C42C8B8" w14:textId="77777777" w:rsidR="007E4BF9" w:rsidRDefault="007E4BF9" w:rsidP="007E4BF9">
      <w:pPr>
        <w:pStyle w:val="PargrafodaLista"/>
        <w:numPr>
          <w:ilvl w:val="4"/>
          <w:numId w:val="18"/>
        </w:numPr>
        <w:rPr>
          <w:rFonts w:ascii="Arial Narrow" w:hAnsi="Arial Narrow"/>
          <w:b/>
          <w:bCs/>
        </w:rPr>
      </w:pPr>
      <w:r>
        <w:rPr>
          <w:rFonts w:ascii="Arial Narrow" w:hAnsi="Arial Narrow"/>
        </w:rPr>
        <w:t>A pedido do fornecedor.</w:t>
      </w:r>
    </w:p>
    <w:p w14:paraId="491AEC12" w14:textId="77777777" w:rsidR="007E4BF9" w:rsidRDefault="007E4BF9" w:rsidP="007E4BF9">
      <w:pPr>
        <w:pStyle w:val="PargrafodaLista"/>
        <w:rPr>
          <w:rFonts w:ascii="Arial Narrow" w:hAnsi="Arial Narrow"/>
          <w:b/>
          <w:bCs/>
          <w:sz w:val="22"/>
        </w:rPr>
      </w:pPr>
    </w:p>
    <w:p w14:paraId="28DF5558"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1AD9CC8A" w14:textId="77777777" w:rsidR="007E4BF9" w:rsidRDefault="007E4BF9" w:rsidP="007E4BF9">
      <w:pPr>
        <w:pStyle w:val="Corpodetexto"/>
        <w:ind w:left="360" w:right="120"/>
        <w:jc w:val="both"/>
        <w:rPr>
          <w:rFonts w:ascii="Arial Narrow" w:hAnsi="Arial Narrow"/>
          <w:b/>
          <w:bCs/>
        </w:rPr>
      </w:pPr>
    </w:p>
    <w:p w14:paraId="30888D1F" w14:textId="77777777" w:rsidR="007E4BF9" w:rsidRDefault="007E4BF9" w:rsidP="007E4BF9">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019AA094" w14:textId="77777777" w:rsidR="007E4BF9" w:rsidRDefault="007E4BF9" w:rsidP="007E4BF9">
      <w:pPr>
        <w:pStyle w:val="Corpodetexto"/>
        <w:ind w:left="360" w:right="120"/>
        <w:jc w:val="both"/>
        <w:rPr>
          <w:rFonts w:ascii="Arial Narrow" w:hAnsi="Arial Narrow"/>
          <w:b/>
          <w:bCs/>
        </w:rPr>
      </w:pPr>
    </w:p>
    <w:p w14:paraId="240EF7BA"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6D42699E" w14:textId="77777777" w:rsidR="007E4BF9" w:rsidRDefault="007E4BF9" w:rsidP="007E4BF9">
      <w:pPr>
        <w:pStyle w:val="Corpodetexto"/>
        <w:ind w:left="502" w:right="120"/>
        <w:jc w:val="both"/>
        <w:rPr>
          <w:rFonts w:ascii="Arial Narrow" w:hAnsi="Arial Narrow"/>
        </w:rPr>
      </w:pPr>
    </w:p>
    <w:p w14:paraId="27DACFF1"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10682440" w14:textId="77777777" w:rsidR="007E4BF9" w:rsidRDefault="007E4BF9" w:rsidP="007E4BF9">
      <w:pPr>
        <w:pStyle w:val="Corpodetexto"/>
        <w:ind w:left="502" w:right="120"/>
        <w:jc w:val="both"/>
        <w:rPr>
          <w:rFonts w:ascii="Arial Narrow" w:hAnsi="Arial Narrow"/>
        </w:rPr>
      </w:pPr>
    </w:p>
    <w:p w14:paraId="06435A9C"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60F7BE5A" w14:textId="77777777" w:rsidR="007E4BF9" w:rsidRDefault="007E4BF9" w:rsidP="007E4BF9">
      <w:pPr>
        <w:pStyle w:val="Corpodetexto"/>
        <w:ind w:left="502" w:right="120"/>
        <w:jc w:val="both"/>
        <w:rPr>
          <w:rFonts w:ascii="Arial Narrow" w:hAnsi="Arial Narrow"/>
        </w:rPr>
      </w:pPr>
    </w:p>
    <w:p w14:paraId="1B4E7EEE"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2D682A15" w14:textId="77777777" w:rsidR="007E4BF9" w:rsidRDefault="007E4BF9" w:rsidP="007E4BF9">
      <w:pPr>
        <w:pStyle w:val="Corpodetexto"/>
        <w:ind w:left="502" w:right="120"/>
        <w:jc w:val="both"/>
        <w:rPr>
          <w:rFonts w:ascii="Arial Narrow" w:hAnsi="Arial Narrow"/>
        </w:rPr>
      </w:pPr>
    </w:p>
    <w:p w14:paraId="10233542"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31BEDF59" w14:textId="77777777" w:rsidR="007E4BF9" w:rsidRDefault="007E4BF9" w:rsidP="007E4BF9">
      <w:pPr>
        <w:pStyle w:val="Corpodetexto"/>
        <w:ind w:left="502" w:right="120"/>
        <w:jc w:val="both"/>
        <w:rPr>
          <w:rFonts w:ascii="Arial Narrow" w:hAnsi="Arial Narrow"/>
        </w:rPr>
      </w:pPr>
    </w:p>
    <w:p w14:paraId="028B1FEB"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deverão manter sigilo sobre os dados pessoais de empregados, colaboradores, servidores ou </w:t>
      </w:r>
      <w:r>
        <w:rPr>
          <w:rFonts w:ascii="Arial Narrow" w:hAnsi="Arial Narrow"/>
        </w:rPr>
        <w:lastRenderedPageBreak/>
        <w:t>qualquer pessoa física aos quais eventualmente tenham acesso, respeitando todos os protocolos exigidos pela Lei Federal nº 13.709/2018, bem como legislação complementar e orientações emitidas pelas ANPD (Autoridade Nacional de Proteção de Dados).</w:t>
      </w:r>
    </w:p>
    <w:p w14:paraId="2E5431E5" w14:textId="77777777" w:rsidR="007E4BF9" w:rsidRDefault="007E4BF9" w:rsidP="007E4BF9">
      <w:pPr>
        <w:pStyle w:val="Corpodetexto"/>
        <w:ind w:left="502" w:right="120"/>
        <w:jc w:val="both"/>
        <w:rPr>
          <w:rFonts w:ascii="Arial Narrow" w:hAnsi="Arial Narrow"/>
        </w:rPr>
      </w:pPr>
    </w:p>
    <w:p w14:paraId="6F0AE885" w14:textId="48025F52"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4C4694">
        <w:rPr>
          <w:rFonts w:ascii="Arial Narrow" w:hAnsi="Arial Narrow"/>
        </w:rPr>
        <w:t>alertando-os</w:t>
      </w:r>
      <w:r>
        <w:rPr>
          <w:rFonts w:ascii="Arial Narrow" w:hAnsi="Arial Narrow"/>
        </w:rPr>
        <w:t xml:space="preserve"> sobre as responsabilidades decorrentes do descumprimento de tal dever.</w:t>
      </w:r>
    </w:p>
    <w:p w14:paraId="10872E5B" w14:textId="77777777" w:rsidR="007E4BF9" w:rsidRDefault="007E4BF9" w:rsidP="007E4BF9">
      <w:pPr>
        <w:pStyle w:val="Corpodetexto"/>
        <w:ind w:left="502" w:right="120"/>
        <w:jc w:val="both"/>
        <w:rPr>
          <w:rFonts w:ascii="Arial Narrow" w:hAnsi="Arial Narrow"/>
        </w:rPr>
      </w:pPr>
    </w:p>
    <w:p w14:paraId="2D0A0C3C"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758435F5" w14:textId="77777777" w:rsidR="007E4BF9" w:rsidRDefault="007E4BF9" w:rsidP="007E4BF9">
      <w:pPr>
        <w:pStyle w:val="Corpodetexto"/>
        <w:ind w:left="502" w:right="120"/>
        <w:jc w:val="both"/>
        <w:rPr>
          <w:rFonts w:ascii="Arial Narrow" w:hAnsi="Arial Narrow"/>
        </w:rPr>
      </w:pPr>
    </w:p>
    <w:p w14:paraId="6C16E1E0"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44E4418A" w14:textId="77777777" w:rsidR="007E4BF9" w:rsidRDefault="007E4BF9" w:rsidP="007E4BF9">
      <w:pPr>
        <w:pStyle w:val="Corpodetexto"/>
        <w:ind w:left="502" w:right="120"/>
        <w:jc w:val="both"/>
        <w:rPr>
          <w:rFonts w:ascii="Arial Narrow" w:hAnsi="Arial Narrow"/>
        </w:rPr>
      </w:pPr>
    </w:p>
    <w:p w14:paraId="03B32C05"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0BAC69FA" w14:textId="77777777" w:rsidR="007E4BF9" w:rsidRDefault="007E4BF9" w:rsidP="007E4BF9">
      <w:pPr>
        <w:pStyle w:val="Corpodetexto"/>
        <w:ind w:left="502" w:right="120"/>
        <w:jc w:val="both"/>
        <w:rPr>
          <w:rFonts w:ascii="Arial Narrow" w:hAnsi="Arial Narrow"/>
        </w:rPr>
      </w:pPr>
    </w:p>
    <w:p w14:paraId="706A4B19"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38CFEF86" w14:textId="77777777" w:rsidR="007E4BF9" w:rsidRDefault="007E4BF9" w:rsidP="007E4BF9">
      <w:pPr>
        <w:pStyle w:val="Corpodetexto"/>
        <w:ind w:left="502" w:right="120"/>
        <w:jc w:val="both"/>
        <w:rPr>
          <w:rFonts w:ascii="Arial Narrow" w:hAnsi="Arial Narrow"/>
        </w:rPr>
      </w:pPr>
    </w:p>
    <w:p w14:paraId="1C24C1D2"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492C5C79" w14:textId="77777777" w:rsidR="007E4BF9" w:rsidRDefault="007E4BF9" w:rsidP="007E4BF9">
      <w:pPr>
        <w:pStyle w:val="Corpodetexto"/>
        <w:ind w:left="502" w:right="120"/>
        <w:jc w:val="both"/>
        <w:rPr>
          <w:rFonts w:ascii="Arial Narrow" w:hAnsi="Arial Narrow"/>
        </w:rPr>
      </w:pPr>
    </w:p>
    <w:p w14:paraId="45E456DD"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63E52C02" w14:textId="77777777" w:rsidR="007E4BF9" w:rsidRDefault="007E4BF9" w:rsidP="007E4BF9">
      <w:pPr>
        <w:pStyle w:val="PargrafodaLista"/>
        <w:rPr>
          <w:rFonts w:ascii="Arial Narrow" w:hAnsi="Arial Narrow"/>
          <w:b/>
          <w:bCs/>
        </w:rPr>
      </w:pPr>
    </w:p>
    <w:p w14:paraId="69D62CC1" w14:textId="77777777" w:rsidR="007E4BF9" w:rsidRDefault="007E4BF9" w:rsidP="007E4BF9">
      <w:pPr>
        <w:pStyle w:val="PargrafodaLista"/>
        <w:rPr>
          <w:rFonts w:ascii="Arial Narrow" w:hAnsi="Arial Narrow"/>
          <w:b/>
          <w:bCs/>
        </w:rPr>
      </w:pPr>
    </w:p>
    <w:p w14:paraId="587FD4C2" w14:textId="77777777" w:rsidR="007E4BF9" w:rsidRDefault="007E4BF9" w:rsidP="007E4BF9">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3B11FEDA" w14:textId="77777777" w:rsidR="007E4BF9" w:rsidRDefault="007E4BF9" w:rsidP="007E4BF9">
      <w:pPr>
        <w:pStyle w:val="Corpodetexto"/>
        <w:ind w:left="360" w:right="120"/>
        <w:jc w:val="both"/>
        <w:rPr>
          <w:rFonts w:ascii="Arial Narrow" w:hAnsi="Arial Narrow"/>
          <w:b/>
          <w:bCs/>
        </w:rPr>
      </w:pPr>
    </w:p>
    <w:p w14:paraId="3C6ACC02" w14:textId="6B13C801"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4C4694">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68214842" w14:textId="77777777" w:rsidR="007E4BF9" w:rsidRDefault="007E4BF9" w:rsidP="007E4BF9">
      <w:pPr>
        <w:pStyle w:val="Corpodetexto"/>
        <w:ind w:left="709" w:right="120"/>
        <w:jc w:val="both"/>
        <w:rPr>
          <w:rFonts w:ascii="Arial Narrow" w:hAnsi="Arial Narrow"/>
          <w:b/>
          <w:bCs/>
        </w:rPr>
      </w:pPr>
    </w:p>
    <w:p w14:paraId="5FDDFC84" w14:textId="527634BE"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sidR="004C4694">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622D4D69" w14:textId="77777777" w:rsidR="007E4BF9" w:rsidRDefault="007E4BF9" w:rsidP="007E4BF9">
      <w:pPr>
        <w:pStyle w:val="Corpodetexto"/>
        <w:ind w:left="502" w:right="120"/>
        <w:jc w:val="both"/>
        <w:rPr>
          <w:rFonts w:ascii="Arial Narrow" w:hAnsi="Arial Narrow"/>
          <w:b/>
          <w:bCs/>
        </w:rPr>
      </w:pPr>
    </w:p>
    <w:p w14:paraId="7EFF9FD7"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2FA3EE1F" w14:textId="77777777" w:rsidR="007E4BF9" w:rsidRDefault="007E4BF9" w:rsidP="007E4BF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3EF2EE35" w14:textId="77777777" w:rsidR="007E4BF9" w:rsidRDefault="007E4BF9" w:rsidP="007E4BF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08A94405" w14:textId="77777777" w:rsidR="007E4BF9" w:rsidRDefault="007E4BF9" w:rsidP="007E4BF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lastRenderedPageBreak/>
        <w:t>der causa à inexecução total do contrato;</w:t>
      </w:r>
    </w:p>
    <w:p w14:paraId="60A32258" w14:textId="77777777" w:rsidR="007E4BF9" w:rsidRDefault="007E4BF9" w:rsidP="007E4BF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D698273" w14:textId="77777777" w:rsidR="007E4BF9" w:rsidRDefault="007E4BF9" w:rsidP="007E4BF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03BE78FB" w14:textId="77777777" w:rsidR="007E4BF9" w:rsidRDefault="007E4BF9" w:rsidP="007E4BF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fraudulento na execução do contrato;</w:t>
      </w:r>
    </w:p>
    <w:p w14:paraId="3D33EAC2" w14:textId="77777777" w:rsidR="007E4BF9" w:rsidRDefault="007E4BF9" w:rsidP="007E4BF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0BC1E973" w14:textId="77777777" w:rsidR="007E4BF9" w:rsidRDefault="007E4BF9" w:rsidP="007E4BF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29259381" w14:textId="77777777" w:rsidR="007E4BF9" w:rsidRDefault="007E4BF9" w:rsidP="007E4BF9">
      <w:pPr>
        <w:pStyle w:val="Corpodetexto"/>
        <w:ind w:left="502" w:right="120"/>
        <w:jc w:val="both"/>
        <w:rPr>
          <w:rFonts w:ascii="Arial Narrow" w:hAnsi="Arial Narrow"/>
          <w:b/>
          <w:bCs/>
        </w:rPr>
      </w:pPr>
    </w:p>
    <w:p w14:paraId="21989495" w14:textId="77777777" w:rsidR="007E4BF9" w:rsidRDefault="007E4BF9" w:rsidP="007E4BF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7588CE00" w14:textId="77777777" w:rsidR="007E4BF9" w:rsidRDefault="007E4BF9" w:rsidP="007E4BF9">
      <w:pPr>
        <w:pStyle w:val="Corpodetexto"/>
        <w:ind w:left="502" w:right="120"/>
        <w:jc w:val="both"/>
        <w:rPr>
          <w:rFonts w:ascii="Arial Narrow" w:hAnsi="Arial Narrow"/>
          <w:b/>
          <w:bCs/>
        </w:rPr>
      </w:pPr>
    </w:p>
    <w:p w14:paraId="1C53C6D8" w14:textId="77777777" w:rsidR="007E4BF9" w:rsidRDefault="007E4BF9" w:rsidP="007E4BF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55001539" w14:textId="77777777" w:rsidR="007E4BF9" w:rsidRDefault="007E4BF9" w:rsidP="007E4BF9">
      <w:pPr>
        <w:pStyle w:val="Corpodetexto"/>
        <w:ind w:left="709" w:right="120" w:hanging="567"/>
        <w:jc w:val="both"/>
        <w:rPr>
          <w:rFonts w:ascii="Arial Narrow" w:hAnsi="Arial Narrow"/>
          <w:b/>
          <w:bCs/>
        </w:rPr>
      </w:pPr>
    </w:p>
    <w:p w14:paraId="7F3B13DB" w14:textId="77777777" w:rsidR="007E4BF9" w:rsidRDefault="007E4BF9" w:rsidP="007E4BF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1875A4D5" w14:textId="77777777" w:rsidR="007E4BF9" w:rsidRDefault="007E4BF9" w:rsidP="007E4BF9">
      <w:pPr>
        <w:pStyle w:val="PargrafodaLista"/>
        <w:rPr>
          <w:rFonts w:ascii="Arial Narrow" w:hAnsi="Arial Narrow"/>
          <w:b/>
          <w:bCs/>
        </w:rPr>
      </w:pPr>
    </w:p>
    <w:p w14:paraId="744144FC" w14:textId="77777777" w:rsidR="007E4BF9" w:rsidRDefault="007E4BF9" w:rsidP="007E4BF9">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07006DF0" w14:textId="77777777" w:rsidR="007E4BF9" w:rsidRDefault="007E4BF9" w:rsidP="007E4BF9">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3686435D" w14:textId="77777777" w:rsidR="007E4BF9" w:rsidRDefault="007E4BF9" w:rsidP="007E4BF9">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57D322F2" w14:textId="77777777" w:rsidR="007E4BF9" w:rsidRDefault="007E4BF9" w:rsidP="007E4BF9">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59F087C9" w14:textId="77777777" w:rsidR="007E4BF9" w:rsidRDefault="007E4BF9" w:rsidP="007E4BF9">
      <w:pPr>
        <w:pStyle w:val="Corpodetexto"/>
        <w:ind w:left="1276" w:right="120"/>
        <w:jc w:val="both"/>
        <w:rPr>
          <w:rFonts w:ascii="Arial Narrow" w:hAnsi="Arial Narrow"/>
          <w:b/>
          <w:bCs/>
        </w:rPr>
      </w:pPr>
    </w:p>
    <w:p w14:paraId="7B961D1B" w14:textId="77777777" w:rsidR="007E4BF9" w:rsidRDefault="007E4BF9" w:rsidP="007E4BF9">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48E79503" w14:textId="77777777" w:rsidR="007E4BF9" w:rsidRDefault="007E4BF9" w:rsidP="007E4BF9">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774C65D5" w14:textId="77777777" w:rsidR="007E4BF9" w:rsidRDefault="007E4BF9" w:rsidP="007E4BF9">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48EBA31A" w14:textId="77777777" w:rsidR="007E4BF9" w:rsidRDefault="007E4BF9" w:rsidP="007E4BF9">
      <w:pPr>
        <w:pStyle w:val="Corpodetexto"/>
        <w:ind w:left="1276" w:right="120"/>
        <w:jc w:val="both"/>
        <w:rPr>
          <w:rFonts w:ascii="Arial Narrow" w:hAnsi="Arial Narrow"/>
          <w:b/>
          <w:bCs/>
        </w:rPr>
      </w:pPr>
    </w:p>
    <w:p w14:paraId="12DCE6B4" w14:textId="77777777" w:rsidR="007E4BF9" w:rsidRDefault="007E4BF9" w:rsidP="007E4BF9">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3F8B3B17" w14:textId="77777777" w:rsidR="007E4BF9" w:rsidRDefault="007E4BF9" w:rsidP="007E4BF9">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5B66C7EE" w14:textId="77777777" w:rsidR="007E4BF9" w:rsidRDefault="007E4BF9" w:rsidP="007E4BF9">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1110E8DB" w14:textId="77777777" w:rsidR="007E4BF9" w:rsidRDefault="007E4BF9" w:rsidP="007E4BF9">
      <w:pPr>
        <w:pStyle w:val="Corpodetexto"/>
        <w:ind w:left="1276" w:right="120"/>
        <w:jc w:val="both"/>
        <w:rPr>
          <w:rFonts w:ascii="Arial Narrow" w:hAnsi="Arial Narrow"/>
          <w:b/>
          <w:bCs/>
        </w:rPr>
      </w:pPr>
    </w:p>
    <w:p w14:paraId="50C1C28B" w14:textId="77777777" w:rsidR="007E4BF9" w:rsidRDefault="007E4BF9" w:rsidP="007E4BF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3451360C" w14:textId="77777777" w:rsidR="007E4BF9" w:rsidRDefault="007E4BF9" w:rsidP="007E4BF9">
      <w:pPr>
        <w:pStyle w:val="Corpodetexto"/>
        <w:ind w:left="709" w:right="120" w:hanging="567"/>
        <w:jc w:val="both"/>
        <w:rPr>
          <w:rFonts w:ascii="Arial Narrow" w:hAnsi="Arial Narrow"/>
          <w:b/>
          <w:bCs/>
        </w:rPr>
      </w:pPr>
    </w:p>
    <w:p w14:paraId="2A934540" w14:textId="77777777" w:rsidR="007E4BF9" w:rsidRDefault="007E4BF9" w:rsidP="007E4BF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ED46863" w14:textId="77777777" w:rsidR="007E4BF9" w:rsidRDefault="007E4BF9" w:rsidP="007E4BF9">
      <w:pPr>
        <w:pStyle w:val="PargrafodaLista"/>
        <w:ind w:left="709"/>
        <w:rPr>
          <w:rFonts w:ascii="Arial Narrow" w:hAnsi="Arial Narrow"/>
          <w:b/>
          <w:bCs/>
        </w:rPr>
      </w:pPr>
    </w:p>
    <w:p w14:paraId="65B58A62" w14:textId="77777777" w:rsidR="007E4BF9" w:rsidRDefault="007E4BF9" w:rsidP="007E4BF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008ACB84" w14:textId="77777777" w:rsidR="007E4BF9" w:rsidRDefault="007E4BF9" w:rsidP="007E4BF9">
      <w:pPr>
        <w:pStyle w:val="Corpodetexto"/>
        <w:ind w:left="709" w:right="120" w:hanging="426"/>
        <w:jc w:val="both"/>
        <w:rPr>
          <w:rFonts w:ascii="Arial Narrow" w:hAnsi="Arial Narrow"/>
          <w:b/>
          <w:bCs/>
        </w:rPr>
      </w:pPr>
    </w:p>
    <w:p w14:paraId="67AE285E" w14:textId="77777777" w:rsidR="007E4BF9" w:rsidRDefault="007E4BF9" w:rsidP="007E4BF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1F4F9ECE" w14:textId="77777777" w:rsidR="007E4BF9" w:rsidRDefault="007E4BF9" w:rsidP="007E4BF9">
      <w:pPr>
        <w:pStyle w:val="PargrafodaLista"/>
        <w:ind w:left="709" w:hanging="426"/>
        <w:rPr>
          <w:rFonts w:ascii="Arial Narrow" w:hAnsi="Arial Narrow"/>
          <w:b/>
          <w:bCs/>
        </w:rPr>
      </w:pPr>
    </w:p>
    <w:p w14:paraId="4C8BFF0E" w14:textId="77777777" w:rsidR="007E4BF9" w:rsidRDefault="007E4BF9" w:rsidP="007E4BF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 xml:space="preserve">Antes da aplicação da multa será facultada a defesa do interessado no prazo de 15 (quinze) dias úteis, contado </w:t>
      </w:r>
      <w:r>
        <w:rPr>
          <w:rFonts w:ascii="Arial Narrow" w:hAnsi="Arial Narrow"/>
        </w:rPr>
        <w:lastRenderedPageBreak/>
        <w:t>da data de sua intimação (art. 157, da Lei nº 14.133, de 2021).</w:t>
      </w:r>
    </w:p>
    <w:p w14:paraId="31C49B19" w14:textId="77777777" w:rsidR="007E4BF9" w:rsidRDefault="007E4BF9" w:rsidP="007E4BF9">
      <w:pPr>
        <w:pStyle w:val="Corpodetexto"/>
        <w:ind w:left="709" w:right="120" w:hanging="567"/>
        <w:jc w:val="both"/>
        <w:rPr>
          <w:rFonts w:ascii="Arial Narrow" w:hAnsi="Arial Narrow"/>
          <w:b/>
          <w:bCs/>
        </w:rPr>
      </w:pPr>
    </w:p>
    <w:p w14:paraId="5E7ECDD8" w14:textId="77777777" w:rsidR="007E4BF9" w:rsidRDefault="007E4BF9" w:rsidP="007E4BF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41ABC769" w14:textId="77777777" w:rsidR="007E4BF9" w:rsidRDefault="007E4BF9" w:rsidP="007E4BF9">
      <w:pPr>
        <w:pStyle w:val="PargrafodaLista"/>
        <w:ind w:left="709"/>
        <w:rPr>
          <w:rFonts w:ascii="Arial Narrow" w:hAnsi="Arial Narrow"/>
          <w:b/>
          <w:bCs/>
        </w:rPr>
      </w:pPr>
    </w:p>
    <w:p w14:paraId="760DEF38" w14:textId="33DF11C4" w:rsidR="007E4BF9" w:rsidRDefault="007E4BF9" w:rsidP="007E4BF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4C4694">
        <w:rPr>
          <w:rFonts w:ascii="Arial Narrow" w:hAnsi="Arial Narrow"/>
        </w:rPr>
        <w:t>trinta</w:t>
      </w:r>
      <w:r>
        <w:rPr>
          <w:rFonts w:ascii="Arial Narrow" w:hAnsi="Arial Narrow"/>
        </w:rPr>
        <w:t>) dias, a contar da data do recebimento da comunicação enviada pela autoridade competente.</w:t>
      </w:r>
    </w:p>
    <w:p w14:paraId="0F9F1CA6" w14:textId="77777777" w:rsidR="007E4BF9" w:rsidRDefault="007E4BF9" w:rsidP="007E4BF9">
      <w:pPr>
        <w:pStyle w:val="PargrafodaLista"/>
        <w:ind w:left="709" w:hanging="426"/>
        <w:rPr>
          <w:rFonts w:ascii="Arial Narrow" w:hAnsi="Arial Narrow"/>
          <w:b/>
          <w:bCs/>
        </w:rPr>
      </w:pPr>
    </w:p>
    <w:p w14:paraId="661AD5F5" w14:textId="77777777" w:rsidR="007E4BF9" w:rsidRDefault="007E4BF9" w:rsidP="007E4BF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00E388B" w14:textId="77777777" w:rsidR="007E4BF9" w:rsidRDefault="007E4BF9" w:rsidP="007E4BF9">
      <w:pPr>
        <w:pStyle w:val="Corpodetexto"/>
        <w:ind w:left="709" w:right="120" w:hanging="426"/>
        <w:jc w:val="both"/>
        <w:rPr>
          <w:rFonts w:ascii="Arial Narrow" w:hAnsi="Arial Narrow"/>
          <w:b/>
          <w:bCs/>
        </w:rPr>
      </w:pPr>
    </w:p>
    <w:p w14:paraId="7C9BF686" w14:textId="77777777" w:rsidR="007E4BF9" w:rsidRDefault="007E4BF9" w:rsidP="007E4BF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064D5E35" w14:textId="77777777" w:rsidR="007E4BF9" w:rsidRDefault="007E4BF9" w:rsidP="007E4BF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6123BD8A" w14:textId="77777777" w:rsidR="007E4BF9" w:rsidRDefault="007E4BF9" w:rsidP="007E4BF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332B505E" w14:textId="77777777" w:rsidR="007E4BF9" w:rsidRDefault="007E4BF9" w:rsidP="007E4BF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1FB6FBF2" w14:textId="77777777" w:rsidR="007E4BF9" w:rsidRDefault="007E4BF9" w:rsidP="007E4BF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49EC2591" w14:textId="77777777" w:rsidR="007E4BF9" w:rsidRDefault="007E4BF9" w:rsidP="007E4BF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0369FD6D" w14:textId="77777777" w:rsidR="007E4BF9" w:rsidRDefault="007E4BF9" w:rsidP="007E4BF9">
      <w:pPr>
        <w:pStyle w:val="PargrafodaLista"/>
        <w:ind w:left="709" w:hanging="426"/>
        <w:rPr>
          <w:rFonts w:ascii="Arial Narrow" w:hAnsi="Arial Narrow"/>
          <w:b/>
          <w:bCs/>
        </w:rPr>
      </w:pPr>
    </w:p>
    <w:p w14:paraId="142BF898" w14:textId="77777777" w:rsidR="007E4BF9" w:rsidRDefault="007E4BF9" w:rsidP="007E4BF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5ECA952" w14:textId="77777777" w:rsidR="007E4BF9" w:rsidRDefault="007E4BF9" w:rsidP="007E4BF9">
      <w:pPr>
        <w:pStyle w:val="Corpodetexto"/>
        <w:ind w:left="709" w:right="120" w:hanging="426"/>
        <w:jc w:val="both"/>
        <w:rPr>
          <w:rFonts w:ascii="Arial Narrow" w:hAnsi="Arial Narrow"/>
          <w:b/>
          <w:bCs/>
        </w:rPr>
      </w:pPr>
    </w:p>
    <w:p w14:paraId="1328A148"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8C00F9D" w14:textId="77777777" w:rsidR="007E4BF9" w:rsidRDefault="007E4BF9" w:rsidP="007E4BF9">
      <w:pPr>
        <w:pStyle w:val="PargrafodaLista"/>
        <w:ind w:left="709"/>
        <w:rPr>
          <w:rFonts w:ascii="Arial Narrow" w:hAnsi="Arial Narrow"/>
          <w:b/>
          <w:bCs/>
        </w:rPr>
      </w:pPr>
    </w:p>
    <w:p w14:paraId="1B23C651"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467BC174" w14:textId="77777777" w:rsidR="007E4BF9" w:rsidRDefault="007E4BF9" w:rsidP="007E4BF9">
      <w:pPr>
        <w:pStyle w:val="PargrafodaLista"/>
        <w:ind w:left="709"/>
        <w:rPr>
          <w:rFonts w:ascii="Arial Narrow" w:hAnsi="Arial Narrow"/>
          <w:b/>
          <w:bCs/>
        </w:rPr>
      </w:pPr>
    </w:p>
    <w:p w14:paraId="14B9698B"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2812AA47" w14:textId="77777777" w:rsidR="007E4BF9" w:rsidRDefault="007E4BF9" w:rsidP="007E4BF9">
      <w:pPr>
        <w:pStyle w:val="PargrafodaLista"/>
        <w:ind w:left="709"/>
        <w:rPr>
          <w:rFonts w:ascii="Arial Narrow" w:hAnsi="Arial Narrow"/>
          <w:b/>
          <w:bCs/>
        </w:rPr>
      </w:pPr>
    </w:p>
    <w:p w14:paraId="6F1B22C8" w14:textId="77777777" w:rsidR="007E4BF9" w:rsidRDefault="007E4BF9" w:rsidP="007E4BF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7F124D4F" w14:textId="77777777" w:rsidR="007E4BF9" w:rsidRDefault="007E4BF9" w:rsidP="007E4BF9">
      <w:pPr>
        <w:pStyle w:val="PargrafodaLista"/>
        <w:ind w:left="709"/>
        <w:rPr>
          <w:rFonts w:ascii="Arial Narrow" w:hAnsi="Arial Narrow"/>
          <w:b/>
          <w:bCs/>
        </w:rPr>
      </w:pPr>
    </w:p>
    <w:p w14:paraId="7C2CDD3C" w14:textId="77777777" w:rsidR="007E4BF9" w:rsidRDefault="007E4BF9" w:rsidP="007E4BF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60304BA5" w14:textId="77777777" w:rsidR="007E4BF9" w:rsidRDefault="007E4BF9" w:rsidP="007E4BF9">
      <w:pPr>
        <w:pStyle w:val="Corpodetexto"/>
        <w:ind w:left="567" w:right="120" w:hanging="425"/>
        <w:jc w:val="both"/>
        <w:rPr>
          <w:rFonts w:ascii="Arial Narrow" w:hAnsi="Arial Narrow"/>
          <w:b/>
          <w:bCs/>
        </w:rPr>
      </w:pPr>
    </w:p>
    <w:p w14:paraId="37D2D4BB"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2E37D0F8" w14:textId="77777777" w:rsidR="007E4BF9" w:rsidRDefault="007E4BF9" w:rsidP="007E4BF9">
      <w:pPr>
        <w:pStyle w:val="Corpodetexto"/>
        <w:ind w:left="567" w:right="120" w:hanging="425"/>
        <w:jc w:val="both"/>
        <w:rPr>
          <w:rFonts w:ascii="Arial Narrow" w:hAnsi="Arial Narrow"/>
          <w:b/>
          <w:bCs/>
        </w:rPr>
      </w:pPr>
    </w:p>
    <w:p w14:paraId="2E587510" w14:textId="77777777" w:rsidR="007E4BF9" w:rsidRDefault="007E4BF9" w:rsidP="007E4BF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lastRenderedPageBreak/>
        <w:t>DOS CASOS OMISSOS E CONDIÇÕES GERAIS</w:t>
      </w:r>
    </w:p>
    <w:p w14:paraId="128FBEC8" w14:textId="77777777" w:rsidR="007E4BF9" w:rsidRDefault="007E4BF9" w:rsidP="007E4BF9">
      <w:pPr>
        <w:pStyle w:val="Corpodetexto"/>
        <w:ind w:left="567" w:right="120" w:hanging="425"/>
        <w:jc w:val="both"/>
        <w:rPr>
          <w:rFonts w:ascii="Arial Narrow" w:hAnsi="Arial Narrow"/>
          <w:b/>
          <w:bCs/>
        </w:rPr>
      </w:pPr>
    </w:p>
    <w:p w14:paraId="2F96BB93"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44A6C3BA" w14:textId="77777777" w:rsidR="007E4BF9" w:rsidRDefault="007E4BF9" w:rsidP="007E4BF9">
      <w:pPr>
        <w:pStyle w:val="Corpodetexto"/>
        <w:ind w:left="567" w:right="120" w:hanging="425"/>
        <w:jc w:val="both"/>
        <w:rPr>
          <w:rFonts w:ascii="Arial Narrow" w:hAnsi="Arial Narrow"/>
          <w:b/>
          <w:bCs/>
        </w:rPr>
      </w:pPr>
    </w:p>
    <w:p w14:paraId="4CAFA1CB"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8DEBFD1" w14:textId="77777777" w:rsidR="007E4BF9" w:rsidRDefault="007E4BF9" w:rsidP="007E4BF9">
      <w:pPr>
        <w:pStyle w:val="PargrafodaLista"/>
        <w:ind w:left="567" w:hanging="425"/>
        <w:rPr>
          <w:rFonts w:ascii="Arial Narrow" w:hAnsi="Arial Narrow"/>
          <w:b/>
          <w:bCs/>
        </w:rPr>
      </w:pPr>
    </w:p>
    <w:p w14:paraId="64716AF2"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6E20C4B1" w14:textId="77777777" w:rsidR="007E4BF9" w:rsidRDefault="007E4BF9" w:rsidP="007E4BF9">
      <w:pPr>
        <w:pStyle w:val="PargrafodaLista"/>
        <w:ind w:left="567" w:hanging="425"/>
        <w:rPr>
          <w:rFonts w:ascii="Arial Narrow" w:hAnsi="Arial Narrow"/>
          <w:b/>
          <w:bCs/>
        </w:rPr>
      </w:pPr>
    </w:p>
    <w:p w14:paraId="7A26A106" w14:textId="77777777" w:rsidR="007E4BF9" w:rsidRDefault="007E4BF9" w:rsidP="007E4BF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36FC6495" w14:textId="77777777" w:rsidR="007E4BF9" w:rsidRDefault="007E4BF9" w:rsidP="007E4BF9">
      <w:pPr>
        <w:pStyle w:val="Corpodetexto"/>
        <w:ind w:left="567" w:right="120" w:hanging="425"/>
        <w:jc w:val="both"/>
        <w:rPr>
          <w:rFonts w:ascii="Arial Narrow" w:hAnsi="Arial Narrow"/>
          <w:b/>
          <w:bCs/>
        </w:rPr>
      </w:pPr>
    </w:p>
    <w:p w14:paraId="0BAB7648" w14:textId="77777777" w:rsidR="007E4BF9" w:rsidRDefault="007E4BF9" w:rsidP="007E4BF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4BE56CF1" w14:textId="77777777" w:rsidR="007E4BF9" w:rsidRDefault="007E4BF9" w:rsidP="007E4BF9">
      <w:pPr>
        <w:pStyle w:val="Corpodetexto"/>
        <w:ind w:left="567" w:right="120" w:hanging="425"/>
        <w:jc w:val="both"/>
        <w:rPr>
          <w:rFonts w:ascii="Arial Narrow" w:hAnsi="Arial Narrow"/>
        </w:rPr>
      </w:pPr>
    </w:p>
    <w:p w14:paraId="19A0F49B" w14:textId="7E5B7F1E" w:rsidR="007E4BF9" w:rsidRDefault="007E4BF9" w:rsidP="007E4BF9">
      <w:pPr>
        <w:pStyle w:val="Corpodetexto"/>
        <w:ind w:left="567" w:right="120" w:hanging="425"/>
        <w:jc w:val="both"/>
        <w:rPr>
          <w:rFonts w:ascii="Arial Narrow" w:hAnsi="Arial Narrow"/>
        </w:rPr>
      </w:pPr>
      <w:r>
        <w:rPr>
          <w:rFonts w:ascii="Arial Narrow" w:hAnsi="Arial Narrow"/>
        </w:rPr>
        <w:t>E, por estarem acordes, firmam o presente instrumento, assinado de forma digital, para todos os efeitos de direito.</w:t>
      </w:r>
    </w:p>
    <w:p w14:paraId="17289CB5" w14:textId="77777777" w:rsidR="008F592C" w:rsidRDefault="008F592C" w:rsidP="007E4BF9">
      <w:pPr>
        <w:pStyle w:val="Corpodetexto"/>
        <w:ind w:left="567" w:right="120" w:hanging="425"/>
        <w:jc w:val="both"/>
        <w:rPr>
          <w:rFonts w:ascii="Arial Narrow" w:hAnsi="Arial Narrow"/>
        </w:rPr>
      </w:pPr>
    </w:p>
    <w:p w14:paraId="40D53AFA" w14:textId="77777777" w:rsidR="008F592C" w:rsidRDefault="008F592C" w:rsidP="008F592C">
      <w:pPr>
        <w:spacing w:line="276" w:lineRule="auto"/>
        <w:jc w:val="center"/>
        <w:rPr>
          <w:rFonts w:ascii="Arial Narrow" w:hAnsi="Arial Narrow"/>
        </w:rPr>
      </w:pPr>
      <w:r>
        <w:rPr>
          <w:rFonts w:ascii="Arial Narrow" w:hAnsi="Arial Narrow"/>
        </w:rPr>
        <w:t>Água Doce, SC, 21 de março de 2025</w:t>
      </w:r>
    </w:p>
    <w:p w14:paraId="4F445120" w14:textId="77777777" w:rsidR="008F592C" w:rsidRDefault="008F592C" w:rsidP="008F592C">
      <w:pPr>
        <w:spacing w:line="276" w:lineRule="auto"/>
        <w:jc w:val="both"/>
        <w:rPr>
          <w:rFonts w:ascii="Arial Narrow" w:hAnsi="Arial Narrow"/>
        </w:rPr>
      </w:pPr>
    </w:p>
    <w:p w14:paraId="0AE91D55" w14:textId="77777777" w:rsidR="008F592C" w:rsidRDefault="008F592C" w:rsidP="008F592C">
      <w:pPr>
        <w:spacing w:line="276" w:lineRule="auto"/>
        <w:jc w:val="both"/>
        <w:rPr>
          <w:rFonts w:ascii="Arial Narrow" w:hAnsi="Arial Narrow"/>
        </w:rPr>
      </w:pPr>
    </w:p>
    <w:p w14:paraId="2C16FE27" w14:textId="77777777" w:rsidR="008F592C" w:rsidRDefault="008F592C" w:rsidP="008F592C">
      <w:pPr>
        <w:spacing w:line="276" w:lineRule="auto"/>
        <w:jc w:val="both"/>
        <w:rPr>
          <w:rFonts w:ascii="Arial Narrow" w:hAnsi="Arial Narrow"/>
        </w:rPr>
      </w:pPr>
    </w:p>
    <w:p w14:paraId="0920E175" w14:textId="77777777" w:rsidR="008F592C" w:rsidRDefault="008F592C" w:rsidP="008F592C">
      <w:pPr>
        <w:spacing w:line="276" w:lineRule="auto"/>
        <w:jc w:val="both"/>
        <w:rPr>
          <w:rFonts w:ascii="Arial Narrow" w:hAnsi="Arial Narrow"/>
        </w:rPr>
      </w:pPr>
    </w:p>
    <w:p w14:paraId="4D75FD53" w14:textId="77777777" w:rsidR="008F592C" w:rsidRDefault="008F592C" w:rsidP="008F592C">
      <w:pPr>
        <w:spacing w:line="276" w:lineRule="auto"/>
        <w:jc w:val="both"/>
        <w:rPr>
          <w:rFonts w:ascii="Arial Narrow" w:hAnsi="Arial Narrow"/>
        </w:rPr>
      </w:pPr>
    </w:p>
    <w:p w14:paraId="42843F5B" w14:textId="77777777" w:rsidR="008F592C" w:rsidRDefault="008F592C" w:rsidP="008F592C">
      <w:pPr>
        <w:spacing w:line="276" w:lineRule="auto"/>
        <w:jc w:val="both"/>
        <w:rPr>
          <w:rFonts w:ascii="Arial Narrow" w:hAnsi="Arial Narrow"/>
        </w:rPr>
      </w:pPr>
    </w:p>
    <w:p w14:paraId="667F569B" w14:textId="77777777" w:rsidR="008F592C" w:rsidRDefault="008F592C" w:rsidP="008F592C">
      <w:pPr>
        <w:spacing w:line="276" w:lineRule="auto"/>
        <w:jc w:val="both"/>
        <w:rPr>
          <w:rFonts w:ascii="Arial Narrow" w:hAnsi="Arial Narrow"/>
        </w:rPr>
      </w:pPr>
    </w:p>
    <w:tbl>
      <w:tblPr>
        <w:tblW w:w="0" w:type="auto"/>
        <w:tblLook w:val="04A0" w:firstRow="1" w:lastRow="0" w:firstColumn="1" w:lastColumn="0" w:noHBand="0" w:noVBand="1"/>
      </w:tblPr>
      <w:tblGrid>
        <w:gridCol w:w="4538"/>
        <w:gridCol w:w="4533"/>
      </w:tblGrid>
      <w:tr w:rsidR="008F592C" w14:paraId="1330F1F4" w14:textId="77777777" w:rsidTr="008F592C">
        <w:tc>
          <w:tcPr>
            <w:tcW w:w="4605" w:type="dxa"/>
            <w:vAlign w:val="center"/>
            <w:hideMark/>
          </w:tcPr>
          <w:p w14:paraId="3E2A5C43" w14:textId="77777777" w:rsidR="008F592C" w:rsidRDefault="008F592C">
            <w:pPr>
              <w:spacing w:line="276" w:lineRule="auto"/>
              <w:jc w:val="center"/>
              <w:rPr>
                <w:rFonts w:ascii="Arial Narrow" w:hAnsi="Arial Narrow"/>
              </w:rPr>
            </w:pPr>
            <w:r>
              <w:rPr>
                <w:rFonts w:ascii="Arial Narrow" w:hAnsi="Arial Narrow" w:cs="Arial"/>
                <w:b/>
              </w:rPr>
              <w:t>GIOVANI LUIZ BRANDALISE</w:t>
            </w:r>
          </w:p>
        </w:tc>
        <w:tc>
          <w:tcPr>
            <w:tcW w:w="4606" w:type="dxa"/>
            <w:vAlign w:val="center"/>
          </w:tcPr>
          <w:p w14:paraId="7A225C04" w14:textId="02304802" w:rsidR="008F592C" w:rsidRPr="00970802" w:rsidRDefault="00970802">
            <w:pPr>
              <w:spacing w:line="276" w:lineRule="auto"/>
              <w:jc w:val="center"/>
              <w:rPr>
                <w:rFonts w:ascii="Arial Narrow" w:hAnsi="Arial Narrow"/>
                <w:b/>
                <w:bCs/>
              </w:rPr>
            </w:pPr>
            <w:r w:rsidRPr="00970802">
              <w:rPr>
                <w:rFonts w:ascii="Arial Narrow" w:hAnsi="Arial Narrow"/>
                <w:b/>
                <w:bCs/>
              </w:rPr>
              <w:t>ACYR DA SILVA</w:t>
            </w:r>
          </w:p>
        </w:tc>
      </w:tr>
      <w:tr w:rsidR="008F592C" w14:paraId="289F328E" w14:textId="77777777" w:rsidTr="008F592C">
        <w:tc>
          <w:tcPr>
            <w:tcW w:w="4605" w:type="dxa"/>
            <w:vAlign w:val="center"/>
            <w:hideMark/>
          </w:tcPr>
          <w:p w14:paraId="57BED1B7" w14:textId="77777777" w:rsidR="008F592C" w:rsidRDefault="008F592C">
            <w:pPr>
              <w:spacing w:line="276" w:lineRule="auto"/>
              <w:jc w:val="center"/>
              <w:rPr>
                <w:rFonts w:ascii="Arial Narrow" w:hAnsi="Arial Narrow"/>
              </w:rPr>
            </w:pPr>
            <w:r>
              <w:rPr>
                <w:rFonts w:ascii="Arial Narrow" w:hAnsi="Arial Narrow" w:cs="Arial"/>
                <w:sz w:val="18"/>
              </w:rPr>
              <w:t>Prefeito Municipal</w:t>
            </w:r>
          </w:p>
        </w:tc>
        <w:tc>
          <w:tcPr>
            <w:tcW w:w="4606" w:type="dxa"/>
            <w:vAlign w:val="center"/>
            <w:hideMark/>
          </w:tcPr>
          <w:p w14:paraId="4E803C89" w14:textId="6483AB6C" w:rsidR="008F592C" w:rsidRDefault="00970802">
            <w:pPr>
              <w:spacing w:line="276" w:lineRule="auto"/>
              <w:jc w:val="center"/>
              <w:rPr>
                <w:rFonts w:ascii="Arial Narrow" w:hAnsi="Arial Narrow"/>
                <w:sz w:val="18"/>
                <w:szCs w:val="18"/>
              </w:rPr>
            </w:pPr>
            <w:r w:rsidRPr="00970802">
              <w:rPr>
                <w:rFonts w:ascii="Arial Narrow" w:hAnsi="Arial Narrow"/>
                <w:sz w:val="18"/>
                <w:szCs w:val="18"/>
              </w:rPr>
              <w:t xml:space="preserve">Associação </w:t>
            </w:r>
            <w:r>
              <w:rPr>
                <w:rFonts w:ascii="Arial Narrow" w:hAnsi="Arial Narrow"/>
                <w:sz w:val="18"/>
                <w:szCs w:val="18"/>
              </w:rPr>
              <w:t>d</w:t>
            </w:r>
            <w:r w:rsidRPr="00970802">
              <w:rPr>
                <w:rFonts w:ascii="Arial Narrow" w:hAnsi="Arial Narrow"/>
                <w:sz w:val="18"/>
                <w:szCs w:val="18"/>
              </w:rPr>
              <w:t xml:space="preserve">os Árbitros </w:t>
            </w:r>
            <w:r>
              <w:rPr>
                <w:rFonts w:ascii="Arial Narrow" w:hAnsi="Arial Narrow"/>
                <w:sz w:val="18"/>
                <w:szCs w:val="18"/>
              </w:rPr>
              <w:t>d</w:t>
            </w:r>
            <w:r w:rsidRPr="00970802">
              <w:rPr>
                <w:rFonts w:ascii="Arial Narrow" w:hAnsi="Arial Narrow"/>
                <w:sz w:val="18"/>
                <w:szCs w:val="18"/>
              </w:rPr>
              <w:t>o Meio Oeste Catarinense</w:t>
            </w:r>
          </w:p>
        </w:tc>
      </w:tr>
      <w:tr w:rsidR="008F592C" w14:paraId="3E2BAD1B" w14:textId="77777777" w:rsidTr="008F592C">
        <w:tc>
          <w:tcPr>
            <w:tcW w:w="4605" w:type="dxa"/>
            <w:vAlign w:val="center"/>
            <w:hideMark/>
          </w:tcPr>
          <w:p w14:paraId="7E6342CE" w14:textId="77777777" w:rsidR="008F592C" w:rsidRDefault="008F592C">
            <w:pPr>
              <w:spacing w:line="276" w:lineRule="auto"/>
              <w:jc w:val="center"/>
              <w:rPr>
                <w:rFonts w:ascii="Arial Narrow" w:hAnsi="Arial Narrow"/>
              </w:rPr>
            </w:pPr>
            <w:r>
              <w:rPr>
                <w:rFonts w:ascii="Arial Narrow" w:hAnsi="Arial Narrow"/>
                <w:bCs/>
                <w:sz w:val="18"/>
              </w:rPr>
              <w:t>Contratante</w:t>
            </w:r>
          </w:p>
        </w:tc>
        <w:tc>
          <w:tcPr>
            <w:tcW w:w="4606" w:type="dxa"/>
            <w:vAlign w:val="center"/>
            <w:hideMark/>
          </w:tcPr>
          <w:p w14:paraId="4106D524" w14:textId="77777777" w:rsidR="008F592C" w:rsidRDefault="008F592C">
            <w:pPr>
              <w:spacing w:line="276" w:lineRule="auto"/>
              <w:jc w:val="center"/>
              <w:rPr>
                <w:rFonts w:ascii="Arial Narrow" w:hAnsi="Arial Narrow"/>
                <w:sz w:val="18"/>
                <w:szCs w:val="18"/>
              </w:rPr>
            </w:pPr>
            <w:r>
              <w:rPr>
                <w:rFonts w:ascii="Arial Narrow" w:hAnsi="Arial Narrow"/>
                <w:sz w:val="18"/>
                <w:szCs w:val="18"/>
              </w:rPr>
              <w:t>Contratada</w:t>
            </w:r>
          </w:p>
        </w:tc>
      </w:tr>
    </w:tbl>
    <w:p w14:paraId="2C9CB548" w14:textId="77777777" w:rsidR="008F592C" w:rsidRDefault="008F592C" w:rsidP="008F592C">
      <w:pPr>
        <w:spacing w:line="276" w:lineRule="auto"/>
        <w:jc w:val="both"/>
        <w:rPr>
          <w:rFonts w:ascii="Arial Narrow" w:hAnsi="Arial Narrow"/>
        </w:rPr>
      </w:pPr>
    </w:p>
    <w:p w14:paraId="12E36825" w14:textId="77777777" w:rsidR="008F592C" w:rsidRDefault="008F592C" w:rsidP="008F592C">
      <w:pPr>
        <w:spacing w:line="276" w:lineRule="auto"/>
        <w:jc w:val="both"/>
        <w:rPr>
          <w:rFonts w:ascii="Arial Narrow" w:hAnsi="Arial Narrow"/>
        </w:rPr>
      </w:pPr>
    </w:p>
    <w:p w14:paraId="391F16E1" w14:textId="77777777" w:rsidR="008F592C" w:rsidRDefault="008F592C" w:rsidP="008F592C">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78BD7B7E" w14:textId="77777777" w:rsidR="008F592C" w:rsidRDefault="008F592C" w:rsidP="008F592C">
      <w:pPr>
        <w:spacing w:line="276" w:lineRule="auto"/>
        <w:rPr>
          <w:rFonts w:ascii="Arial Narrow" w:hAnsi="Arial Narrow"/>
          <w:color w:val="FF0000"/>
        </w:rPr>
      </w:pPr>
    </w:p>
    <w:p w14:paraId="18379519" w14:textId="77777777" w:rsidR="008F592C" w:rsidRDefault="008F592C" w:rsidP="008F592C">
      <w:pPr>
        <w:spacing w:line="276" w:lineRule="auto"/>
        <w:jc w:val="both"/>
        <w:rPr>
          <w:rFonts w:ascii="Arial Narrow" w:hAnsi="Arial Narrow"/>
          <w:color w:val="FF0000"/>
          <w:szCs w:val="16"/>
        </w:rPr>
      </w:pPr>
    </w:p>
    <w:p w14:paraId="275FB188" w14:textId="77777777" w:rsidR="008F592C" w:rsidRDefault="008F592C" w:rsidP="008F592C">
      <w:pPr>
        <w:spacing w:line="276" w:lineRule="auto"/>
        <w:jc w:val="both"/>
        <w:rPr>
          <w:rFonts w:ascii="Arial Narrow" w:hAnsi="Arial Narrow"/>
          <w:color w:val="FF0000"/>
          <w:szCs w:val="16"/>
        </w:rPr>
      </w:pPr>
    </w:p>
    <w:p w14:paraId="1D2A72E5" w14:textId="77777777" w:rsidR="008F592C" w:rsidRDefault="008F592C" w:rsidP="008F592C">
      <w:pPr>
        <w:spacing w:line="276" w:lineRule="auto"/>
        <w:jc w:val="both"/>
        <w:rPr>
          <w:rFonts w:ascii="Arial Narrow" w:hAnsi="Arial Narrow"/>
          <w:color w:val="FF0000"/>
          <w:szCs w:val="16"/>
        </w:rPr>
      </w:pPr>
    </w:p>
    <w:p w14:paraId="00866F6C" w14:textId="77777777" w:rsidR="008F592C" w:rsidRDefault="008F592C" w:rsidP="008F592C">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406D2680" w14:textId="77777777" w:rsidR="008F592C" w:rsidRDefault="008F592C" w:rsidP="008F592C">
      <w:pPr>
        <w:autoSpaceDE w:val="0"/>
        <w:autoSpaceDN w:val="0"/>
        <w:adjustRightInd w:val="0"/>
        <w:spacing w:line="276" w:lineRule="auto"/>
        <w:jc w:val="center"/>
        <w:rPr>
          <w:rFonts w:ascii="Arial Narrow" w:hAnsi="Arial Narrow" w:cs="Arial"/>
          <w:b/>
        </w:rPr>
      </w:pPr>
      <w:r>
        <w:rPr>
          <w:rFonts w:ascii="Arial Narrow" w:hAnsi="Arial Narrow" w:cs="Arial"/>
          <w:b/>
        </w:rPr>
        <w:t>JULIANE PEROTONI</w:t>
      </w:r>
    </w:p>
    <w:p w14:paraId="366AD30B" w14:textId="77777777" w:rsidR="008F592C" w:rsidRDefault="008F592C" w:rsidP="008F592C">
      <w:pPr>
        <w:autoSpaceDE w:val="0"/>
        <w:autoSpaceDN w:val="0"/>
        <w:adjustRightInd w:val="0"/>
        <w:spacing w:line="276" w:lineRule="auto"/>
        <w:jc w:val="center"/>
      </w:pPr>
      <w:r>
        <w:rPr>
          <w:rFonts w:ascii="Arial Narrow" w:hAnsi="Arial Narrow" w:cs="Arial"/>
        </w:rPr>
        <w:t>OAB/SC 33.765</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1D667C"/>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4C4694"/>
    <w:rsid w:val="00504267"/>
    <w:rsid w:val="00552D89"/>
    <w:rsid w:val="00555CD5"/>
    <w:rsid w:val="00557C0C"/>
    <w:rsid w:val="00580D4D"/>
    <w:rsid w:val="005A4D90"/>
    <w:rsid w:val="005A68D0"/>
    <w:rsid w:val="005B7382"/>
    <w:rsid w:val="005C54BD"/>
    <w:rsid w:val="005E30B0"/>
    <w:rsid w:val="005F3673"/>
    <w:rsid w:val="005F7906"/>
    <w:rsid w:val="00601C35"/>
    <w:rsid w:val="006047C6"/>
    <w:rsid w:val="0062212B"/>
    <w:rsid w:val="00696B3F"/>
    <w:rsid w:val="006D2631"/>
    <w:rsid w:val="006F02FF"/>
    <w:rsid w:val="00726CD4"/>
    <w:rsid w:val="00733CDE"/>
    <w:rsid w:val="00746DF7"/>
    <w:rsid w:val="00752F5B"/>
    <w:rsid w:val="00756C53"/>
    <w:rsid w:val="00766844"/>
    <w:rsid w:val="007E4BF9"/>
    <w:rsid w:val="007F4A60"/>
    <w:rsid w:val="00831D82"/>
    <w:rsid w:val="00841FCF"/>
    <w:rsid w:val="00877023"/>
    <w:rsid w:val="008846ED"/>
    <w:rsid w:val="008A2C37"/>
    <w:rsid w:val="008F592C"/>
    <w:rsid w:val="008F7DDB"/>
    <w:rsid w:val="00905384"/>
    <w:rsid w:val="0090602E"/>
    <w:rsid w:val="0090606A"/>
    <w:rsid w:val="0092675B"/>
    <w:rsid w:val="00960E34"/>
    <w:rsid w:val="00970802"/>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15A5E"/>
    <w:rsid w:val="00C64593"/>
    <w:rsid w:val="00CA0D11"/>
    <w:rsid w:val="00CA1A6D"/>
    <w:rsid w:val="00D3081F"/>
    <w:rsid w:val="00D60366"/>
    <w:rsid w:val="00D60584"/>
    <w:rsid w:val="00D75249"/>
    <w:rsid w:val="00D87C99"/>
    <w:rsid w:val="00D92C99"/>
    <w:rsid w:val="00D94808"/>
    <w:rsid w:val="00DF18F4"/>
    <w:rsid w:val="00E0194C"/>
    <w:rsid w:val="00E569BD"/>
    <w:rsid w:val="00E85C9E"/>
    <w:rsid w:val="00E85E74"/>
    <w:rsid w:val="00EA25B1"/>
    <w:rsid w:val="00EB68D0"/>
    <w:rsid w:val="00EB698E"/>
    <w:rsid w:val="00EE1800"/>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1"/>
    <w:locked/>
    <w:rsid w:val="007E4BF9"/>
    <w:rPr>
      <w:rFonts w:ascii="Arial MT" w:eastAsia="Arial MT" w:hAnsi="Arial MT" w:cs="Arial MT"/>
      <w:lang w:val="pt-PT"/>
    </w:rPr>
  </w:style>
  <w:style w:type="paragraph" w:styleId="PargrafodaLista">
    <w:name w:val="List Paragraph"/>
    <w:basedOn w:val="Normal"/>
    <w:link w:val="PargrafodaListaChar"/>
    <w:uiPriority w:val="1"/>
    <w:qFormat/>
    <w:rsid w:val="007E4BF9"/>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7E4BF9"/>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7E4BF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81731">
      <w:bodyDiv w:val="1"/>
      <w:marLeft w:val="0"/>
      <w:marRight w:val="0"/>
      <w:marTop w:val="0"/>
      <w:marBottom w:val="0"/>
      <w:divBdr>
        <w:top w:val="none" w:sz="0" w:space="0" w:color="auto"/>
        <w:left w:val="none" w:sz="0" w:space="0" w:color="auto"/>
        <w:bottom w:val="none" w:sz="0" w:space="0" w:color="auto"/>
        <w:right w:val="none" w:sz="0" w:space="0" w:color="auto"/>
      </w:divBdr>
    </w:div>
    <w:div w:id="1475870937">
      <w:bodyDiv w:val="1"/>
      <w:marLeft w:val="0"/>
      <w:marRight w:val="0"/>
      <w:marTop w:val="0"/>
      <w:marBottom w:val="0"/>
      <w:divBdr>
        <w:top w:val="none" w:sz="0" w:space="0" w:color="auto"/>
        <w:left w:val="none" w:sz="0" w:space="0" w:color="auto"/>
        <w:bottom w:val="none" w:sz="0" w:space="0" w:color="auto"/>
        <w:right w:val="none" w:sz="0" w:space="0" w:color="auto"/>
      </w:divBdr>
    </w:div>
    <w:div w:id="150026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4481</Words>
  <Characters>24491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9</cp:revision>
  <cp:lastPrinted>2025-03-26T18:06:00Z</cp:lastPrinted>
  <dcterms:created xsi:type="dcterms:W3CDTF">2025-03-26T17:57:00Z</dcterms:created>
  <dcterms:modified xsi:type="dcterms:W3CDTF">2025-03-26T18:06:00Z</dcterms:modified>
</cp:coreProperties>
</file>